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5D3C" w14:textId="42A30379" w:rsidR="00025FCF" w:rsidRPr="00C455EE" w:rsidRDefault="00B050DB" w:rsidP="00C455EE">
      <w:pPr>
        <w:rPr>
          <w:b/>
          <w:bCs/>
          <w:sz w:val="28"/>
          <w:szCs w:val="28"/>
        </w:rPr>
      </w:pPr>
      <w:r w:rsidRPr="00C845FC">
        <w:rPr>
          <w:b/>
          <w:bCs/>
          <w:sz w:val="28"/>
          <w:szCs w:val="28"/>
        </w:rPr>
        <w:t xml:space="preserve">Cohort Early Years Transition Document – Prime and Specific Areas of </w:t>
      </w:r>
      <w:r w:rsidR="00FD7872">
        <w:rPr>
          <w:b/>
          <w:bCs/>
          <w:sz w:val="28"/>
          <w:szCs w:val="28"/>
        </w:rPr>
        <w:t>L</w:t>
      </w:r>
      <w:r w:rsidRPr="00C845FC">
        <w:rPr>
          <w:b/>
          <w:bCs/>
          <w:sz w:val="28"/>
          <w:szCs w:val="28"/>
        </w:rPr>
        <w:t>earning</w:t>
      </w:r>
      <w:r w:rsidR="00C455EE" w:rsidRPr="00C845FC">
        <w:rPr>
          <w:b/>
          <w:bCs/>
          <w:sz w:val="28"/>
          <w:szCs w:val="28"/>
        </w:rPr>
        <w:t xml:space="preserve"> </w:t>
      </w:r>
      <w:r w:rsidR="00C455EE" w:rsidRPr="00C845FC">
        <w:rPr>
          <w:b/>
          <w:bCs/>
          <w:sz w:val="28"/>
          <w:szCs w:val="28"/>
        </w:rPr>
        <w:tab/>
      </w:r>
      <w:r w:rsidR="00C455EE">
        <w:rPr>
          <w:b/>
          <w:bCs/>
          <w:sz w:val="28"/>
          <w:szCs w:val="28"/>
        </w:rPr>
        <w:tab/>
      </w:r>
      <w:r w:rsidR="00C455EE">
        <w:rPr>
          <w:b/>
          <w:bCs/>
          <w:sz w:val="28"/>
          <w:szCs w:val="28"/>
        </w:rPr>
        <w:tab/>
      </w:r>
      <w:r w:rsidR="00C455EE">
        <w:rPr>
          <w:noProof/>
          <w:lang w:eastAsia="en-GB"/>
        </w:rPr>
        <w:drawing>
          <wp:inline distT="0" distB="0" distL="0" distR="0" wp14:anchorId="64E0DE6F" wp14:editId="67A31530">
            <wp:extent cx="2438400" cy="835253"/>
            <wp:effectExtent l="0" t="0" r="0" b="3175"/>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64" cy="839625"/>
                    </a:xfrm>
                    <a:prstGeom prst="rect">
                      <a:avLst/>
                    </a:prstGeom>
                    <a:noFill/>
                    <a:ln>
                      <a:noFill/>
                    </a:ln>
                  </pic:spPr>
                </pic:pic>
              </a:graphicData>
            </a:graphic>
          </wp:inline>
        </w:drawing>
      </w:r>
    </w:p>
    <w:p w14:paraId="7055B30D" w14:textId="7E2EA50A" w:rsidR="00B050DB" w:rsidRPr="00B050DB" w:rsidRDefault="00B050DB" w:rsidP="00B050DB">
      <w:pPr>
        <w:pStyle w:val="NormalWeb"/>
        <w:rPr>
          <w:rFonts w:asciiTheme="minorHAnsi" w:hAnsiTheme="minorHAnsi" w:cstheme="minorHAnsi"/>
          <w:color w:val="000000"/>
          <w:sz w:val="22"/>
          <w:szCs w:val="22"/>
        </w:rPr>
      </w:pPr>
      <w:r w:rsidRPr="00B050DB">
        <w:rPr>
          <w:rFonts w:asciiTheme="minorHAnsi" w:hAnsiTheme="minorHAnsi" w:cstheme="minorHAnsi"/>
          <w:color w:val="000000"/>
          <w:sz w:val="22"/>
          <w:szCs w:val="22"/>
        </w:rPr>
        <w:t>Please indicate using a</w:t>
      </w:r>
      <w:r w:rsidRPr="00574DE3">
        <w:rPr>
          <w:rFonts w:asciiTheme="minorHAnsi" w:hAnsiTheme="minorHAnsi" w:cstheme="minorHAnsi"/>
          <w:b/>
          <w:bCs/>
          <w:color w:val="000000"/>
          <w:sz w:val="22"/>
          <w:szCs w:val="22"/>
        </w:rPr>
        <w:t xml:space="preserve"> X</w:t>
      </w:r>
      <w:r w:rsidRPr="00B050DB">
        <w:rPr>
          <w:rFonts w:asciiTheme="minorHAnsi" w:hAnsiTheme="minorHAnsi" w:cstheme="minorHAnsi"/>
          <w:color w:val="000000"/>
          <w:sz w:val="22"/>
          <w:szCs w:val="22"/>
        </w:rPr>
        <w:t xml:space="preserve"> to indicate if each child is </w:t>
      </w:r>
      <w:r w:rsidRPr="00574DE3">
        <w:rPr>
          <w:rFonts w:asciiTheme="minorHAnsi" w:hAnsiTheme="minorHAnsi" w:cstheme="minorHAnsi"/>
          <w:b/>
          <w:bCs/>
          <w:color w:val="000000"/>
          <w:sz w:val="22"/>
          <w:szCs w:val="22"/>
        </w:rPr>
        <w:t>NOT</w:t>
      </w:r>
      <w:r>
        <w:rPr>
          <w:rFonts w:asciiTheme="minorHAnsi" w:hAnsiTheme="minorHAnsi" w:cstheme="minorHAnsi"/>
          <w:color w:val="000000"/>
          <w:sz w:val="22"/>
          <w:szCs w:val="22"/>
        </w:rPr>
        <w:t xml:space="preserve"> </w:t>
      </w:r>
      <w:r w:rsidRPr="00B050DB">
        <w:rPr>
          <w:rFonts w:asciiTheme="minorHAnsi" w:hAnsiTheme="minorHAnsi" w:cstheme="minorHAnsi"/>
          <w:color w:val="000000"/>
          <w:sz w:val="22"/>
          <w:szCs w:val="22"/>
        </w:rPr>
        <w:t>achieving typically expected milestones for their age.</w:t>
      </w:r>
    </w:p>
    <w:p w14:paraId="22C2EEFD" w14:textId="0F2D1F00" w:rsidR="00B050DB" w:rsidRDefault="00B050DB" w:rsidP="00B050DB">
      <w:pPr>
        <w:pStyle w:val="NormalWeb"/>
        <w:rPr>
          <w:rFonts w:asciiTheme="minorHAnsi" w:hAnsiTheme="minorHAnsi" w:cstheme="minorHAnsi"/>
          <w:color w:val="000000"/>
          <w:sz w:val="22"/>
          <w:szCs w:val="22"/>
        </w:rPr>
      </w:pPr>
      <w:r w:rsidRPr="00B050DB">
        <w:rPr>
          <w:rFonts w:asciiTheme="minorHAnsi" w:hAnsiTheme="minorHAnsi" w:cstheme="minorHAnsi"/>
          <w:color w:val="000000"/>
          <w:sz w:val="22"/>
          <w:szCs w:val="22"/>
        </w:rPr>
        <w:t>NOTE: For any child who is NOT meeting typically expected milestones for their age, you should us</w:t>
      </w:r>
      <w:r>
        <w:rPr>
          <w:rFonts w:asciiTheme="minorHAnsi" w:hAnsiTheme="minorHAnsi" w:cstheme="minorHAnsi"/>
          <w:color w:val="000000"/>
          <w:sz w:val="22"/>
          <w:szCs w:val="22"/>
        </w:rPr>
        <w:t>e</w:t>
      </w:r>
      <w:r w:rsidRPr="00B050DB">
        <w:rPr>
          <w:rFonts w:asciiTheme="minorHAnsi" w:hAnsiTheme="minorHAnsi" w:cstheme="minorHAnsi"/>
          <w:color w:val="000000"/>
          <w:sz w:val="22"/>
          <w:szCs w:val="22"/>
        </w:rPr>
        <w:t xml:space="preserve"> a more detailed </w:t>
      </w:r>
      <w:r>
        <w:rPr>
          <w:rFonts w:asciiTheme="minorHAnsi" w:hAnsiTheme="minorHAnsi" w:cstheme="minorHAnsi"/>
          <w:color w:val="000000"/>
          <w:sz w:val="22"/>
          <w:szCs w:val="22"/>
        </w:rPr>
        <w:t>t</w:t>
      </w:r>
      <w:r w:rsidRPr="00B050DB">
        <w:rPr>
          <w:rFonts w:asciiTheme="minorHAnsi" w:hAnsiTheme="minorHAnsi" w:cstheme="minorHAnsi"/>
          <w:color w:val="000000"/>
          <w:sz w:val="22"/>
          <w:szCs w:val="22"/>
        </w:rPr>
        <w:t xml:space="preserve">ransition document </w:t>
      </w:r>
      <w:r>
        <w:rPr>
          <w:rFonts w:asciiTheme="minorHAnsi" w:hAnsiTheme="minorHAnsi" w:cstheme="minorHAnsi"/>
          <w:color w:val="000000"/>
          <w:sz w:val="22"/>
          <w:szCs w:val="22"/>
        </w:rPr>
        <w:t>offering further details to the child’s new setting</w:t>
      </w:r>
      <w:r w:rsidRPr="00B050DB">
        <w:rPr>
          <w:rFonts w:asciiTheme="minorHAnsi" w:hAnsiTheme="minorHAnsi" w:cstheme="minorHAnsi"/>
          <w:color w:val="000000"/>
          <w:sz w:val="22"/>
          <w:szCs w:val="22"/>
        </w:rPr>
        <w:t xml:space="preserve">. </w:t>
      </w:r>
    </w:p>
    <w:tbl>
      <w:tblPr>
        <w:tblStyle w:val="TableGrid"/>
        <w:tblW w:w="0" w:type="auto"/>
        <w:tblLook w:val="04A0" w:firstRow="1" w:lastRow="0" w:firstColumn="1" w:lastColumn="0" w:noHBand="0" w:noVBand="1"/>
      </w:tblPr>
      <w:tblGrid>
        <w:gridCol w:w="10201"/>
        <w:gridCol w:w="4925"/>
      </w:tblGrid>
      <w:tr w:rsidR="00574DE3" w14:paraId="4DE45E77" w14:textId="77777777" w:rsidTr="00574DE3">
        <w:tc>
          <w:tcPr>
            <w:tcW w:w="10201" w:type="dxa"/>
          </w:tcPr>
          <w:p w14:paraId="17C0073C" w14:textId="2D286D2E" w:rsidR="00574DE3" w:rsidRPr="00B246BC" w:rsidRDefault="00574DE3" w:rsidP="00B050DB">
            <w:pPr>
              <w:pStyle w:val="NormalWeb"/>
              <w:rPr>
                <w:rFonts w:asciiTheme="minorHAnsi" w:hAnsiTheme="minorHAnsi" w:cstheme="minorHAnsi"/>
                <w:color w:val="000000"/>
                <w:sz w:val="22"/>
                <w:szCs w:val="22"/>
              </w:rPr>
            </w:pPr>
            <w:r w:rsidRPr="00B246BC">
              <w:rPr>
                <w:rFonts w:asciiTheme="minorHAnsi" w:hAnsiTheme="minorHAnsi" w:cstheme="minorHAnsi"/>
                <w:color w:val="000000"/>
                <w:sz w:val="22"/>
                <w:szCs w:val="22"/>
              </w:rPr>
              <w:t>Name of setting this cohort is transitioning from:</w:t>
            </w:r>
          </w:p>
        </w:tc>
        <w:tc>
          <w:tcPr>
            <w:tcW w:w="4925" w:type="dxa"/>
          </w:tcPr>
          <w:p w14:paraId="6BCB987D" w14:textId="59B46C47" w:rsidR="00574DE3" w:rsidRDefault="00574DE3" w:rsidP="00B050D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Contact </w:t>
            </w:r>
            <w:r w:rsidR="00695D47">
              <w:rPr>
                <w:rFonts w:asciiTheme="minorHAnsi" w:hAnsiTheme="minorHAnsi" w:cstheme="minorHAnsi"/>
                <w:color w:val="000000"/>
                <w:sz w:val="22"/>
                <w:szCs w:val="22"/>
              </w:rPr>
              <w:t>N</w:t>
            </w:r>
            <w:r>
              <w:rPr>
                <w:rFonts w:asciiTheme="minorHAnsi" w:hAnsiTheme="minorHAnsi" w:cstheme="minorHAnsi"/>
                <w:color w:val="000000"/>
                <w:sz w:val="22"/>
                <w:szCs w:val="22"/>
              </w:rPr>
              <w:t>umber:</w:t>
            </w:r>
          </w:p>
          <w:p w14:paraId="3CE23A53" w14:textId="79FCA179" w:rsidR="00574DE3" w:rsidRDefault="00574DE3" w:rsidP="00B050DB">
            <w:pPr>
              <w:pStyle w:val="NormalWeb"/>
              <w:rPr>
                <w:rFonts w:asciiTheme="minorHAnsi" w:hAnsiTheme="minorHAnsi" w:cstheme="minorHAnsi"/>
                <w:color w:val="000000"/>
                <w:sz w:val="22"/>
                <w:szCs w:val="22"/>
              </w:rPr>
            </w:pPr>
          </w:p>
        </w:tc>
      </w:tr>
    </w:tbl>
    <w:p w14:paraId="510AFE45" w14:textId="77777777" w:rsidR="00574DE3" w:rsidRPr="00574DE3" w:rsidRDefault="00574DE3" w:rsidP="00574DE3">
      <w:pPr>
        <w:pStyle w:val="NoSpacing"/>
      </w:pPr>
    </w:p>
    <w:tbl>
      <w:tblPr>
        <w:tblStyle w:val="TableGrid"/>
        <w:tblW w:w="0" w:type="auto"/>
        <w:tblLook w:val="04A0" w:firstRow="1" w:lastRow="0" w:firstColumn="1" w:lastColumn="0" w:noHBand="0" w:noVBand="1"/>
      </w:tblPr>
      <w:tblGrid>
        <w:gridCol w:w="2830"/>
        <w:gridCol w:w="1756"/>
        <w:gridCol w:w="1757"/>
        <w:gridCol w:w="1756"/>
        <w:gridCol w:w="1757"/>
        <w:gridCol w:w="1756"/>
        <w:gridCol w:w="1757"/>
        <w:gridCol w:w="1757"/>
      </w:tblGrid>
      <w:tr w:rsidR="00B050DB" w14:paraId="7F35A023" w14:textId="77777777" w:rsidTr="00B050DB">
        <w:tc>
          <w:tcPr>
            <w:tcW w:w="2830" w:type="dxa"/>
          </w:tcPr>
          <w:p w14:paraId="76D14D78" w14:textId="73FD4B4A" w:rsidR="00B050DB" w:rsidRPr="00B246BC" w:rsidRDefault="00B050DB" w:rsidP="00B050DB">
            <w:pPr>
              <w:pStyle w:val="NormalWeb"/>
              <w:rPr>
                <w:rFonts w:asciiTheme="minorHAnsi" w:hAnsiTheme="minorHAnsi" w:cstheme="minorHAnsi"/>
                <w:color w:val="000000"/>
                <w:sz w:val="20"/>
                <w:szCs w:val="20"/>
              </w:rPr>
            </w:pPr>
            <w:r w:rsidRPr="00B246BC">
              <w:rPr>
                <w:rFonts w:asciiTheme="minorHAnsi" w:hAnsiTheme="minorHAnsi" w:cstheme="minorHAnsi"/>
                <w:color w:val="000000"/>
                <w:sz w:val="20"/>
                <w:szCs w:val="20"/>
              </w:rPr>
              <w:t>Child’s Name</w:t>
            </w:r>
          </w:p>
        </w:tc>
        <w:tc>
          <w:tcPr>
            <w:tcW w:w="1756" w:type="dxa"/>
          </w:tcPr>
          <w:p w14:paraId="5695EF1A" w14:textId="08D4F43A" w:rsidR="00B050DB" w:rsidRPr="00B246BC" w:rsidRDefault="00B050DB" w:rsidP="00B050DB">
            <w:pPr>
              <w:pStyle w:val="NormalWeb"/>
              <w:jc w:val="center"/>
              <w:rPr>
                <w:rFonts w:asciiTheme="minorHAnsi" w:hAnsiTheme="minorHAnsi" w:cstheme="minorHAnsi"/>
                <w:color w:val="000000"/>
                <w:sz w:val="20"/>
                <w:szCs w:val="20"/>
              </w:rPr>
            </w:pPr>
            <w:r w:rsidRPr="00B246BC">
              <w:rPr>
                <w:rFonts w:asciiTheme="minorHAnsi" w:hAnsiTheme="minorHAnsi" w:cstheme="minorHAnsi"/>
                <w:color w:val="000000"/>
                <w:sz w:val="20"/>
                <w:szCs w:val="20"/>
              </w:rPr>
              <w:t xml:space="preserve">Communication </w:t>
            </w:r>
            <w:r w:rsidR="00272659">
              <w:rPr>
                <w:rFonts w:asciiTheme="minorHAnsi" w:hAnsiTheme="minorHAnsi" w:cstheme="minorHAnsi"/>
                <w:color w:val="000000"/>
                <w:sz w:val="20"/>
                <w:szCs w:val="20"/>
              </w:rPr>
              <w:t>and</w:t>
            </w:r>
            <w:r w:rsidRPr="00B246BC">
              <w:rPr>
                <w:rFonts w:asciiTheme="minorHAnsi" w:hAnsiTheme="minorHAnsi" w:cstheme="minorHAnsi"/>
                <w:color w:val="000000"/>
                <w:sz w:val="20"/>
                <w:szCs w:val="20"/>
              </w:rPr>
              <w:t xml:space="preserve"> Language</w:t>
            </w:r>
          </w:p>
        </w:tc>
        <w:tc>
          <w:tcPr>
            <w:tcW w:w="1757" w:type="dxa"/>
          </w:tcPr>
          <w:p w14:paraId="510291AF" w14:textId="3EC526BB" w:rsidR="00B050DB" w:rsidRPr="00B246BC" w:rsidRDefault="00B050DB" w:rsidP="00B050DB">
            <w:pPr>
              <w:pStyle w:val="NormalWeb"/>
              <w:jc w:val="center"/>
              <w:rPr>
                <w:rFonts w:asciiTheme="minorHAnsi" w:hAnsiTheme="minorHAnsi" w:cstheme="minorHAnsi"/>
                <w:color w:val="000000"/>
                <w:sz w:val="20"/>
                <w:szCs w:val="20"/>
              </w:rPr>
            </w:pPr>
            <w:r w:rsidRPr="00B246BC">
              <w:rPr>
                <w:rFonts w:asciiTheme="minorHAnsi" w:hAnsiTheme="minorHAnsi" w:cstheme="minorHAnsi"/>
                <w:color w:val="000000"/>
                <w:sz w:val="20"/>
                <w:szCs w:val="20"/>
              </w:rPr>
              <w:t xml:space="preserve">Personal, </w:t>
            </w:r>
            <w:r w:rsidR="00695D47">
              <w:rPr>
                <w:rFonts w:asciiTheme="minorHAnsi" w:hAnsiTheme="minorHAnsi" w:cstheme="minorHAnsi"/>
                <w:color w:val="000000"/>
                <w:sz w:val="20"/>
                <w:szCs w:val="20"/>
              </w:rPr>
              <w:t>S</w:t>
            </w:r>
            <w:r w:rsidRPr="00B246BC">
              <w:rPr>
                <w:rFonts w:asciiTheme="minorHAnsi" w:hAnsiTheme="minorHAnsi" w:cstheme="minorHAnsi"/>
                <w:color w:val="000000"/>
                <w:sz w:val="20"/>
                <w:szCs w:val="20"/>
              </w:rPr>
              <w:t xml:space="preserve">ocial, and </w:t>
            </w:r>
            <w:r w:rsidR="00695D47">
              <w:rPr>
                <w:rFonts w:asciiTheme="minorHAnsi" w:hAnsiTheme="minorHAnsi" w:cstheme="minorHAnsi"/>
                <w:color w:val="000000"/>
                <w:sz w:val="20"/>
                <w:szCs w:val="20"/>
              </w:rPr>
              <w:t>E</w:t>
            </w:r>
            <w:r w:rsidRPr="00B246BC">
              <w:rPr>
                <w:rFonts w:asciiTheme="minorHAnsi" w:hAnsiTheme="minorHAnsi" w:cstheme="minorHAnsi"/>
                <w:color w:val="000000"/>
                <w:sz w:val="20"/>
                <w:szCs w:val="20"/>
              </w:rPr>
              <w:t xml:space="preserve">motional </w:t>
            </w:r>
            <w:r w:rsidR="00695D47">
              <w:rPr>
                <w:rFonts w:asciiTheme="minorHAnsi" w:hAnsiTheme="minorHAnsi" w:cstheme="minorHAnsi"/>
                <w:color w:val="000000"/>
                <w:sz w:val="20"/>
                <w:szCs w:val="20"/>
              </w:rPr>
              <w:t>D</w:t>
            </w:r>
            <w:r w:rsidRPr="00B246BC">
              <w:rPr>
                <w:rFonts w:asciiTheme="minorHAnsi" w:hAnsiTheme="minorHAnsi" w:cstheme="minorHAnsi"/>
                <w:color w:val="000000"/>
                <w:sz w:val="20"/>
                <w:szCs w:val="20"/>
              </w:rPr>
              <w:t>evelopment</w:t>
            </w:r>
          </w:p>
        </w:tc>
        <w:tc>
          <w:tcPr>
            <w:tcW w:w="1756" w:type="dxa"/>
          </w:tcPr>
          <w:p w14:paraId="6A9BCD39" w14:textId="387DC78B" w:rsidR="00B050DB" w:rsidRPr="00B246BC" w:rsidRDefault="00B050DB" w:rsidP="00B050DB">
            <w:pPr>
              <w:pStyle w:val="NormalWeb"/>
              <w:jc w:val="center"/>
              <w:rPr>
                <w:rFonts w:asciiTheme="minorHAnsi" w:hAnsiTheme="minorHAnsi" w:cstheme="minorHAnsi"/>
                <w:color w:val="000000"/>
                <w:sz w:val="20"/>
                <w:szCs w:val="20"/>
              </w:rPr>
            </w:pPr>
            <w:r w:rsidRPr="00B246BC">
              <w:rPr>
                <w:rFonts w:asciiTheme="minorHAnsi" w:hAnsiTheme="minorHAnsi" w:cstheme="minorHAnsi"/>
                <w:color w:val="000000"/>
                <w:sz w:val="20"/>
                <w:szCs w:val="20"/>
              </w:rPr>
              <w:t xml:space="preserve">Physical </w:t>
            </w:r>
            <w:r w:rsidR="00695D47">
              <w:rPr>
                <w:rFonts w:asciiTheme="minorHAnsi" w:hAnsiTheme="minorHAnsi" w:cstheme="minorHAnsi"/>
                <w:color w:val="000000"/>
                <w:sz w:val="20"/>
                <w:szCs w:val="20"/>
              </w:rPr>
              <w:t>D</w:t>
            </w:r>
            <w:r w:rsidRPr="00B246BC">
              <w:rPr>
                <w:rFonts w:asciiTheme="minorHAnsi" w:hAnsiTheme="minorHAnsi" w:cstheme="minorHAnsi"/>
                <w:color w:val="000000"/>
                <w:sz w:val="20"/>
                <w:szCs w:val="20"/>
              </w:rPr>
              <w:t>evelopment</w:t>
            </w:r>
          </w:p>
        </w:tc>
        <w:tc>
          <w:tcPr>
            <w:tcW w:w="1757" w:type="dxa"/>
          </w:tcPr>
          <w:p w14:paraId="761CFE10" w14:textId="6B88905A" w:rsidR="00B050DB" w:rsidRPr="00B246BC" w:rsidRDefault="00B050DB" w:rsidP="00B050DB">
            <w:pPr>
              <w:pStyle w:val="NormalWeb"/>
              <w:jc w:val="center"/>
              <w:rPr>
                <w:rFonts w:asciiTheme="minorHAnsi" w:hAnsiTheme="minorHAnsi" w:cstheme="minorHAnsi"/>
                <w:color w:val="000000"/>
                <w:sz w:val="20"/>
                <w:szCs w:val="20"/>
              </w:rPr>
            </w:pPr>
            <w:r w:rsidRPr="00B246BC">
              <w:rPr>
                <w:rFonts w:asciiTheme="minorHAnsi" w:hAnsiTheme="minorHAnsi" w:cstheme="minorHAnsi"/>
                <w:color w:val="000000"/>
                <w:sz w:val="20"/>
                <w:szCs w:val="20"/>
              </w:rPr>
              <w:t>Literacy</w:t>
            </w:r>
          </w:p>
        </w:tc>
        <w:tc>
          <w:tcPr>
            <w:tcW w:w="1756" w:type="dxa"/>
          </w:tcPr>
          <w:p w14:paraId="514B9D67" w14:textId="4E136689" w:rsidR="00B050DB" w:rsidRPr="00B246BC" w:rsidRDefault="00B050DB" w:rsidP="00B050DB">
            <w:pPr>
              <w:pStyle w:val="NormalWeb"/>
              <w:jc w:val="center"/>
              <w:rPr>
                <w:rFonts w:asciiTheme="minorHAnsi" w:hAnsiTheme="minorHAnsi" w:cstheme="minorHAnsi"/>
                <w:color w:val="000000"/>
                <w:sz w:val="20"/>
                <w:szCs w:val="20"/>
              </w:rPr>
            </w:pPr>
            <w:r w:rsidRPr="00B246BC">
              <w:rPr>
                <w:rFonts w:asciiTheme="minorHAnsi" w:hAnsiTheme="minorHAnsi" w:cstheme="minorHAnsi"/>
                <w:color w:val="000000"/>
                <w:sz w:val="20"/>
                <w:szCs w:val="20"/>
              </w:rPr>
              <w:t>Mathematics</w:t>
            </w:r>
          </w:p>
        </w:tc>
        <w:tc>
          <w:tcPr>
            <w:tcW w:w="1757" w:type="dxa"/>
          </w:tcPr>
          <w:p w14:paraId="5CE26058" w14:textId="262F45E8" w:rsidR="00B050DB" w:rsidRPr="00B246BC" w:rsidRDefault="00B050DB" w:rsidP="00B050DB">
            <w:pPr>
              <w:pStyle w:val="NormalWeb"/>
              <w:jc w:val="center"/>
              <w:rPr>
                <w:rFonts w:asciiTheme="minorHAnsi" w:hAnsiTheme="minorHAnsi" w:cstheme="minorHAnsi"/>
                <w:color w:val="000000"/>
                <w:sz w:val="20"/>
                <w:szCs w:val="20"/>
              </w:rPr>
            </w:pPr>
            <w:r w:rsidRPr="00B246BC">
              <w:rPr>
                <w:rFonts w:asciiTheme="minorHAnsi" w:hAnsiTheme="minorHAnsi" w:cstheme="minorHAnsi"/>
                <w:color w:val="000000"/>
                <w:sz w:val="20"/>
                <w:szCs w:val="20"/>
              </w:rPr>
              <w:t xml:space="preserve">Understanding the </w:t>
            </w:r>
            <w:r w:rsidR="00695D47">
              <w:rPr>
                <w:rFonts w:asciiTheme="minorHAnsi" w:hAnsiTheme="minorHAnsi" w:cstheme="minorHAnsi"/>
                <w:color w:val="000000"/>
                <w:sz w:val="20"/>
                <w:szCs w:val="20"/>
              </w:rPr>
              <w:t>W</w:t>
            </w:r>
            <w:r w:rsidRPr="00B246BC">
              <w:rPr>
                <w:rFonts w:asciiTheme="minorHAnsi" w:hAnsiTheme="minorHAnsi" w:cstheme="minorHAnsi"/>
                <w:color w:val="000000"/>
                <w:sz w:val="20"/>
                <w:szCs w:val="20"/>
              </w:rPr>
              <w:t>orld</w:t>
            </w:r>
          </w:p>
        </w:tc>
        <w:tc>
          <w:tcPr>
            <w:tcW w:w="1757" w:type="dxa"/>
          </w:tcPr>
          <w:p w14:paraId="7396E755" w14:textId="6962EB97" w:rsidR="00B050DB" w:rsidRPr="00B246BC" w:rsidRDefault="00B050DB" w:rsidP="00B050DB">
            <w:pPr>
              <w:pStyle w:val="NormalWeb"/>
              <w:jc w:val="center"/>
              <w:rPr>
                <w:rFonts w:asciiTheme="minorHAnsi" w:hAnsiTheme="minorHAnsi" w:cstheme="minorHAnsi"/>
                <w:color w:val="000000"/>
                <w:sz w:val="20"/>
                <w:szCs w:val="20"/>
              </w:rPr>
            </w:pPr>
            <w:r w:rsidRPr="00B246BC">
              <w:rPr>
                <w:rFonts w:asciiTheme="minorHAnsi" w:hAnsiTheme="minorHAnsi" w:cstheme="minorHAnsi"/>
                <w:color w:val="000000"/>
                <w:sz w:val="20"/>
                <w:szCs w:val="20"/>
              </w:rPr>
              <w:t xml:space="preserve">Expressive </w:t>
            </w:r>
            <w:r w:rsidR="00695D47">
              <w:rPr>
                <w:rFonts w:asciiTheme="minorHAnsi" w:hAnsiTheme="minorHAnsi" w:cstheme="minorHAnsi"/>
                <w:color w:val="000000"/>
                <w:sz w:val="20"/>
                <w:szCs w:val="20"/>
              </w:rPr>
              <w:t>A</w:t>
            </w:r>
            <w:r w:rsidRPr="00B246BC">
              <w:rPr>
                <w:rFonts w:asciiTheme="minorHAnsi" w:hAnsiTheme="minorHAnsi" w:cstheme="minorHAnsi"/>
                <w:color w:val="000000"/>
                <w:sz w:val="20"/>
                <w:szCs w:val="20"/>
              </w:rPr>
              <w:t xml:space="preserve">rts and </w:t>
            </w:r>
            <w:r w:rsidR="00695D47">
              <w:rPr>
                <w:rFonts w:asciiTheme="minorHAnsi" w:hAnsiTheme="minorHAnsi" w:cstheme="minorHAnsi"/>
                <w:color w:val="000000"/>
                <w:sz w:val="20"/>
                <w:szCs w:val="20"/>
              </w:rPr>
              <w:t>D</w:t>
            </w:r>
            <w:r w:rsidRPr="00B246BC">
              <w:rPr>
                <w:rFonts w:asciiTheme="minorHAnsi" w:hAnsiTheme="minorHAnsi" w:cstheme="minorHAnsi"/>
                <w:color w:val="000000"/>
                <w:sz w:val="20"/>
                <w:szCs w:val="20"/>
              </w:rPr>
              <w:t>esign</w:t>
            </w:r>
          </w:p>
        </w:tc>
      </w:tr>
      <w:tr w:rsidR="00B050DB" w14:paraId="3C055139" w14:textId="77777777" w:rsidTr="00B050DB">
        <w:tc>
          <w:tcPr>
            <w:tcW w:w="2830" w:type="dxa"/>
          </w:tcPr>
          <w:p w14:paraId="00CC1F15"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31D10973"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3B6449AF"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116B99CD"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67F819BF"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3400B125"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19989C7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0EB7CB77"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6C2EF4C3" w14:textId="77777777" w:rsidTr="00B050DB">
        <w:tc>
          <w:tcPr>
            <w:tcW w:w="2830" w:type="dxa"/>
          </w:tcPr>
          <w:p w14:paraId="4A4B20CF"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3F367E84"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28A05536"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29F1C87E"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3BA5556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50C92847"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501B14E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39FE4F24"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0761E774" w14:textId="77777777" w:rsidTr="00B050DB">
        <w:tc>
          <w:tcPr>
            <w:tcW w:w="2830" w:type="dxa"/>
          </w:tcPr>
          <w:p w14:paraId="5BA75690"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3DB0AB54"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3DA98743"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2BB6F5B3"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24FC9E22"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0A4B4A7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05751925"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7852465A"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2584D2F7" w14:textId="77777777" w:rsidTr="00B050DB">
        <w:tc>
          <w:tcPr>
            <w:tcW w:w="2830" w:type="dxa"/>
          </w:tcPr>
          <w:p w14:paraId="0DA99EDC"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3F400D21"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17446F1A"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3766F031"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0319670A"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009298F1"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130212C6"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5196E966"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265532EB" w14:textId="77777777" w:rsidTr="00B050DB">
        <w:tc>
          <w:tcPr>
            <w:tcW w:w="2830" w:type="dxa"/>
          </w:tcPr>
          <w:p w14:paraId="6499C45C"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7A0EFC46"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2BF0F72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56455D77"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3E1F8C13"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5B4D99AE"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4B0D8DD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62064A17"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256D2363" w14:textId="77777777" w:rsidTr="00B050DB">
        <w:tc>
          <w:tcPr>
            <w:tcW w:w="2830" w:type="dxa"/>
          </w:tcPr>
          <w:p w14:paraId="0FE0E50B"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41BF9AB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6E9FD99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056A5D28"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5C84741D"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6067594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77D98D8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70165FFB"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332EC41C" w14:textId="77777777" w:rsidTr="00B050DB">
        <w:tc>
          <w:tcPr>
            <w:tcW w:w="2830" w:type="dxa"/>
          </w:tcPr>
          <w:p w14:paraId="2BD7C5D5"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0FCD412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5049B85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37325B91"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21EFA1B8"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011BD3BC"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23967624"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5E3F0850"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06B2B0B1" w14:textId="77777777" w:rsidTr="00B050DB">
        <w:tc>
          <w:tcPr>
            <w:tcW w:w="2830" w:type="dxa"/>
          </w:tcPr>
          <w:p w14:paraId="45D22969"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2A8B6CC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41D7BFCA"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0CE59183"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5E0BFBFF"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0CCF4254"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06303815"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02E42D83"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7C6785A1" w14:textId="77777777" w:rsidTr="00B050DB">
        <w:tc>
          <w:tcPr>
            <w:tcW w:w="2830" w:type="dxa"/>
          </w:tcPr>
          <w:p w14:paraId="45439F48"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4E426B91"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65256E6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6809E96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5F4C92F3"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17AE4F65"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1528846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4E6B1092"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43409C57" w14:textId="77777777" w:rsidTr="00B050DB">
        <w:tc>
          <w:tcPr>
            <w:tcW w:w="2830" w:type="dxa"/>
          </w:tcPr>
          <w:p w14:paraId="5273D356"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407F5D9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7135368D"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217AA5E0"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793A5684"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4E16057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3DDD1F84"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670EF101"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14657FC5" w14:textId="77777777" w:rsidTr="00B050DB">
        <w:tc>
          <w:tcPr>
            <w:tcW w:w="2830" w:type="dxa"/>
          </w:tcPr>
          <w:p w14:paraId="28C16E46"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1FB0439B"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481E526C"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4E4CCD27"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73673BCA"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5A6DA06E"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3AB0731A"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1E3C8FCD" w14:textId="77777777" w:rsidR="00B050DB" w:rsidRPr="00B050DB" w:rsidRDefault="00B050DB" w:rsidP="00B050DB">
            <w:pPr>
              <w:pStyle w:val="NormalWeb"/>
              <w:jc w:val="center"/>
              <w:rPr>
                <w:rFonts w:asciiTheme="minorHAnsi" w:hAnsiTheme="minorHAnsi" w:cstheme="minorHAnsi"/>
                <w:color w:val="000000"/>
                <w:sz w:val="20"/>
                <w:szCs w:val="20"/>
              </w:rPr>
            </w:pPr>
          </w:p>
        </w:tc>
      </w:tr>
      <w:tr w:rsidR="00B050DB" w14:paraId="4A87E5CC" w14:textId="77777777" w:rsidTr="00B050DB">
        <w:tc>
          <w:tcPr>
            <w:tcW w:w="2830" w:type="dxa"/>
          </w:tcPr>
          <w:p w14:paraId="248B575F" w14:textId="77777777" w:rsidR="00B050DB" w:rsidRPr="00B050DB" w:rsidRDefault="00B050DB" w:rsidP="00B050DB">
            <w:pPr>
              <w:pStyle w:val="NormalWeb"/>
              <w:rPr>
                <w:rFonts w:asciiTheme="minorHAnsi" w:hAnsiTheme="minorHAnsi" w:cstheme="minorHAnsi"/>
                <w:color w:val="000000"/>
                <w:sz w:val="28"/>
                <w:szCs w:val="28"/>
              </w:rPr>
            </w:pPr>
          </w:p>
        </w:tc>
        <w:tc>
          <w:tcPr>
            <w:tcW w:w="1756" w:type="dxa"/>
          </w:tcPr>
          <w:p w14:paraId="10A3AEA8"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72702005"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52895A79"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7A60BB21"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6" w:type="dxa"/>
          </w:tcPr>
          <w:p w14:paraId="6BF7E5C2"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20363E96" w14:textId="77777777" w:rsidR="00B050DB" w:rsidRPr="00B050DB" w:rsidRDefault="00B050DB" w:rsidP="00B050DB">
            <w:pPr>
              <w:pStyle w:val="NormalWeb"/>
              <w:jc w:val="center"/>
              <w:rPr>
                <w:rFonts w:asciiTheme="minorHAnsi" w:hAnsiTheme="minorHAnsi" w:cstheme="minorHAnsi"/>
                <w:color w:val="000000"/>
                <w:sz w:val="20"/>
                <w:szCs w:val="20"/>
              </w:rPr>
            </w:pPr>
          </w:p>
        </w:tc>
        <w:tc>
          <w:tcPr>
            <w:tcW w:w="1757" w:type="dxa"/>
          </w:tcPr>
          <w:p w14:paraId="5C0BC4C0" w14:textId="77777777" w:rsidR="00B050DB" w:rsidRPr="00B050DB" w:rsidRDefault="00B050DB" w:rsidP="00B050DB">
            <w:pPr>
              <w:pStyle w:val="NormalWeb"/>
              <w:jc w:val="center"/>
              <w:rPr>
                <w:rFonts w:asciiTheme="minorHAnsi" w:hAnsiTheme="minorHAnsi" w:cstheme="minorHAnsi"/>
                <w:color w:val="000000"/>
                <w:sz w:val="20"/>
                <w:szCs w:val="20"/>
              </w:rPr>
            </w:pPr>
          </w:p>
        </w:tc>
      </w:tr>
    </w:tbl>
    <w:p w14:paraId="3B44EE1E" w14:textId="5E6FC346" w:rsidR="00574DE3" w:rsidRPr="00574DE3" w:rsidRDefault="00B050DB" w:rsidP="00B050DB">
      <w:pPr>
        <w:pStyle w:val="NormalWeb"/>
        <w:rPr>
          <w:rFonts w:asciiTheme="minorHAnsi" w:hAnsiTheme="minorHAnsi" w:cstheme="minorHAnsi"/>
          <w:color w:val="000000"/>
          <w:sz w:val="16"/>
          <w:szCs w:val="16"/>
        </w:rPr>
      </w:pPr>
      <w:r w:rsidRPr="00574DE3">
        <w:rPr>
          <w:rFonts w:asciiTheme="minorHAnsi" w:hAnsiTheme="minorHAnsi" w:cstheme="minorHAnsi"/>
          <w:color w:val="000000"/>
          <w:sz w:val="16"/>
          <w:szCs w:val="16"/>
        </w:rPr>
        <w:t xml:space="preserve">NOTE: Please use a specific Speech, Language and Communication assessment tool to help you in deciding which of the statements above to tick. You could consider using Rotherham’s own SLC Assessment tool, or our ‘Tiny Talkers’ milestones that can be found here, </w:t>
      </w:r>
      <w:hyperlink r:id="rId5" w:history="1">
        <w:r w:rsidRPr="00574DE3">
          <w:rPr>
            <w:rStyle w:val="Hyperlink"/>
            <w:rFonts w:asciiTheme="minorHAnsi" w:hAnsiTheme="minorHAnsi" w:cstheme="minorHAnsi"/>
            <w:sz w:val="16"/>
            <w:szCs w:val="16"/>
          </w:rPr>
          <w:t>Developmental Stages – Tiny Talkers</w:t>
        </w:r>
      </w:hyperlink>
      <w:r w:rsidRPr="00574DE3">
        <w:rPr>
          <w:rFonts w:asciiTheme="minorHAnsi" w:hAnsiTheme="minorHAnsi" w:cstheme="minorHAnsi"/>
          <w:color w:val="000000"/>
          <w:sz w:val="16"/>
          <w:szCs w:val="16"/>
        </w:rPr>
        <w:t xml:space="preserve"> Developmental Stages – Tiny Talkers or those found on websites like ‘Universally Speaking’ found here</w:t>
      </w:r>
      <w:r w:rsidR="00574DE3" w:rsidRPr="00574DE3">
        <w:rPr>
          <w:rFonts w:asciiTheme="minorHAnsi" w:hAnsiTheme="minorHAnsi" w:cstheme="minorHAnsi"/>
          <w:color w:val="000000"/>
          <w:sz w:val="16"/>
          <w:szCs w:val="16"/>
        </w:rPr>
        <w:t xml:space="preserve"> </w:t>
      </w:r>
      <w:hyperlink r:id="rId6" w:history="1">
        <w:r w:rsidR="00574DE3" w:rsidRPr="00574DE3">
          <w:rPr>
            <w:rStyle w:val="Hyperlink"/>
            <w:rFonts w:asciiTheme="minorHAnsi" w:hAnsiTheme="minorHAnsi" w:cstheme="minorHAnsi"/>
            <w:sz w:val="16"/>
            <w:szCs w:val="16"/>
          </w:rPr>
          <w:t>Universally Speaking (speechandlanguage.org.uk)</w:t>
        </w:r>
      </w:hyperlink>
      <w:r w:rsidRPr="00574DE3">
        <w:rPr>
          <w:rFonts w:asciiTheme="minorHAnsi" w:hAnsiTheme="minorHAnsi" w:cstheme="minorHAnsi"/>
          <w:color w:val="000000"/>
          <w:sz w:val="16"/>
          <w:szCs w:val="16"/>
        </w:rPr>
        <w:t xml:space="preserve"> Universally Speaking (ican.org.uk) Alternatively you might like to use the ELKLAN SLC Assessment Tool, found in the back of the ‘Early Language Builders Book’. </w:t>
      </w:r>
    </w:p>
    <w:p w14:paraId="788B9CED" w14:textId="3A596BB9" w:rsidR="00B050DB" w:rsidRDefault="00B050DB" w:rsidP="00574DE3">
      <w:pPr>
        <w:pStyle w:val="NormalWeb"/>
      </w:pPr>
      <w:r w:rsidRPr="00574DE3">
        <w:rPr>
          <w:rFonts w:asciiTheme="minorHAnsi" w:hAnsiTheme="minorHAnsi" w:cstheme="minorHAnsi"/>
          <w:color w:val="000000"/>
          <w:sz w:val="16"/>
          <w:szCs w:val="16"/>
        </w:rPr>
        <w:t xml:space="preserve">Note: To help identify if this child is working in line with typical child development </w:t>
      </w:r>
      <w:r w:rsidR="00574DE3" w:rsidRPr="00574DE3">
        <w:rPr>
          <w:rFonts w:asciiTheme="minorHAnsi" w:hAnsiTheme="minorHAnsi" w:cstheme="minorHAnsi"/>
          <w:color w:val="000000"/>
          <w:sz w:val="16"/>
          <w:szCs w:val="16"/>
        </w:rPr>
        <w:t>milestones,</w:t>
      </w:r>
      <w:r w:rsidRPr="00574DE3">
        <w:rPr>
          <w:rFonts w:asciiTheme="minorHAnsi" w:hAnsiTheme="minorHAnsi" w:cstheme="minorHAnsi"/>
          <w:color w:val="000000"/>
          <w:sz w:val="16"/>
          <w:szCs w:val="16"/>
        </w:rPr>
        <w:t xml:space="preserve"> please consider referring to a helpful guide like Rotherham’s Child Development Charts, OPAL documentation, NHS Guidelines or the checkpoints found within ‘What to Expect in the EYFS; a guide for Parents’.</w:t>
      </w:r>
    </w:p>
    <w:sectPr w:rsidR="00B050DB" w:rsidSect="00C455EE">
      <w:pgSz w:w="16838" w:h="11906" w:orient="landscape"/>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DB"/>
    <w:rsid w:val="00025FCF"/>
    <w:rsid w:val="00272659"/>
    <w:rsid w:val="0027532A"/>
    <w:rsid w:val="00574DE3"/>
    <w:rsid w:val="00656902"/>
    <w:rsid w:val="00695D47"/>
    <w:rsid w:val="007C4C77"/>
    <w:rsid w:val="00B050DB"/>
    <w:rsid w:val="00B246BC"/>
    <w:rsid w:val="00C455EE"/>
    <w:rsid w:val="00C845FC"/>
    <w:rsid w:val="00FD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DB36"/>
  <w15:chartTrackingRefBased/>
  <w15:docId w15:val="{39751BE6-F368-4AB4-A045-130D055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0D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50DB"/>
    <w:rPr>
      <w:color w:val="0000FF"/>
      <w:u w:val="single"/>
    </w:rPr>
  </w:style>
  <w:style w:type="paragraph" w:styleId="NoSpacing">
    <w:name w:val="No Spacing"/>
    <w:uiPriority w:val="1"/>
    <w:qFormat/>
    <w:rsid w:val="00574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echandlanguage.org.uk/talking-point/for-professionals/the-communication-trust/universally-speaking/" TargetMode="External"/><Relationship Id="rId5" Type="http://schemas.openxmlformats.org/officeDocument/2006/relationships/hyperlink" Target="https://tinytalkers.co.uk/parents-carers/developmental-stag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Bradburne</dc:creator>
  <cp:keywords/>
  <dc:description/>
  <cp:lastModifiedBy>Jeanette Bradburne</cp:lastModifiedBy>
  <cp:revision>2</cp:revision>
  <dcterms:created xsi:type="dcterms:W3CDTF">2023-06-13T11:59:00Z</dcterms:created>
  <dcterms:modified xsi:type="dcterms:W3CDTF">2023-06-13T11:59:00Z</dcterms:modified>
</cp:coreProperties>
</file>