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21B58C" w14:textId="7EA27E62" w:rsidR="00F3373B" w:rsidRDefault="00F3373B" w:rsidP="00F3373B">
      <w:pPr>
        <w:pStyle w:val="BodyText"/>
        <w:spacing w:before="91"/>
        <w:ind w:left="2622" w:right="3055"/>
        <w:jc w:val="center"/>
      </w:pPr>
      <w:r>
        <w:t>Appendix 2 - Revisions to Council Plan performance measures and targets for 2024-</w:t>
      </w:r>
      <w:r w:rsidR="004D348F">
        <w:t>2</w:t>
      </w:r>
      <w:r>
        <w:t>5</w:t>
      </w:r>
    </w:p>
    <w:p w14:paraId="0C3E8930" w14:textId="77777777" w:rsidR="00F3373B" w:rsidRDefault="00F3373B" w:rsidP="00F3373B">
      <w:pPr>
        <w:spacing w:before="2"/>
        <w:rPr>
          <w:b/>
          <w:sz w:val="16"/>
        </w:rPr>
      </w:pPr>
    </w:p>
    <w:tbl>
      <w:tblPr>
        <w:tblW w:w="15877" w:type="dxa"/>
        <w:tblInd w:w="-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5"/>
        <w:gridCol w:w="3969"/>
        <w:gridCol w:w="1843"/>
        <w:gridCol w:w="1984"/>
        <w:gridCol w:w="1985"/>
        <w:gridCol w:w="4961"/>
      </w:tblGrid>
      <w:tr w:rsidR="00F3373B" w14:paraId="388AE3EF" w14:textId="77777777" w:rsidTr="00F3373B">
        <w:trPr>
          <w:trHeight w:val="880"/>
        </w:trPr>
        <w:tc>
          <w:tcPr>
            <w:tcW w:w="1135" w:type="dxa"/>
            <w:shd w:val="clear" w:color="auto" w:fill="0D4F77"/>
          </w:tcPr>
          <w:p w14:paraId="5621BB4C" w14:textId="77777777" w:rsidR="00F3373B" w:rsidRDefault="00F3373B" w:rsidP="00001A7C">
            <w:pPr>
              <w:pStyle w:val="TableParagraph"/>
              <w:spacing w:before="1"/>
              <w:ind w:left="107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color w:val="FFFFFF"/>
                <w:sz w:val="24"/>
              </w:rPr>
              <w:t>Ref</w:t>
            </w:r>
          </w:p>
        </w:tc>
        <w:tc>
          <w:tcPr>
            <w:tcW w:w="3969" w:type="dxa"/>
            <w:shd w:val="clear" w:color="auto" w:fill="0D4F77"/>
          </w:tcPr>
          <w:p w14:paraId="671B29AD" w14:textId="77777777" w:rsidR="00F3373B" w:rsidRDefault="00F3373B" w:rsidP="00001A7C">
            <w:pPr>
              <w:pStyle w:val="TableParagraph"/>
              <w:spacing w:before="1"/>
              <w:ind w:left="107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color w:val="FFFFFF"/>
                <w:sz w:val="24"/>
              </w:rPr>
              <w:t>Key Performance Indicator</w:t>
            </w:r>
          </w:p>
        </w:tc>
        <w:tc>
          <w:tcPr>
            <w:tcW w:w="1843" w:type="dxa"/>
            <w:shd w:val="clear" w:color="auto" w:fill="0D4F77"/>
          </w:tcPr>
          <w:p w14:paraId="181AAE3D" w14:textId="77777777" w:rsidR="00F3373B" w:rsidRDefault="00F3373B" w:rsidP="00001A7C">
            <w:pPr>
              <w:pStyle w:val="TableParagraph"/>
              <w:spacing w:before="1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color w:val="FFFFFF"/>
                <w:sz w:val="24"/>
              </w:rPr>
              <w:t>Good is</w:t>
            </w:r>
          </w:p>
        </w:tc>
        <w:tc>
          <w:tcPr>
            <w:tcW w:w="1984" w:type="dxa"/>
            <w:shd w:val="clear" w:color="auto" w:fill="0D4F77"/>
          </w:tcPr>
          <w:p w14:paraId="529B0C36" w14:textId="77777777" w:rsidR="00F3373B" w:rsidRDefault="00F3373B" w:rsidP="00001A7C">
            <w:pPr>
              <w:pStyle w:val="TableParagraph"/>
              <w:spacing w:before="1"/>
              <w:ind w:right="201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color w:val="FFFFFF"/>
                <w:sz w:val="24"/>
              </w:rPr>
              <w:t>Previous target 23-24</w:t>
            </w:r>
          </w:p>
        </w:tc>
        <w:tc>
          <w:tcPr>
            <w:tcW w:w="1985" w:type="dxa"/>
            <w:shd w:val="clear" w:color="auto" w:fill="0D4F77"/>
          </w:tcPr>
          <w:p w14:paraId="21305A59" w14:textId="77777777" w:rsidR="00F3373B" w:rsidRDefault="00F3373B" w:rsidP="00001A7C">
            <w:pPr>
              <w:pStyle w:val="TableParagraph"/>
              <w:spacing w:before="1"/>
              <w:ind w:right="462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color w:val="FFFFFF"/>
                <w:sz w:val="24"/>
              </w:rPr>
              <w:t>New target 24-25</w:t>
            </w:r>
          </w:p>
        </w:tc>
        <w:tc>
          <w:tcPr>
            <w:tcW w:w="4961" w:type="dxa"/>
            <w:shd w:val="clear" w:color="auto" w:fill="0D4F77"/>
          </w:tcPr>
          <w:p w14:paraId="5706BCEE" w14:textId="77777777" w:rsidR="00F3373B" w:rsidRDefault="00F3373B" w:rsidP="00001A7C">
            <w:pPr>
              <w:pStyle w:val="TableParagraph"/>
              <w:spacing w:before="1"/>
              <w:ind w:left="109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color w:val="FFFFFF"/>
                <w:sz w:val="24"/>
              </w:rPr>
              <w:t>Reason for change</w:t>
            </w:r>
          </w:p>
        </w:tc>
      </w:tr>
      <w:tr w:rsidR="00F3373B" w14:paraId="7D1E51AE" w14:textId="77777777" w:rsidTr="00F3373B">
        <w:trPr>
          <w:trHeight w:val="292"/>
        </w:trPr>
        <w:tc>
          <w:tcPr>
            <w:tcW w:w="15877" w:type="dxa"/>
            <w:gridSpan w:val="6"/>
            <w:tcBorders>
              <w:right w:val="single" w:sz="6" w:space="0" w:color="000000"/>
            </w:tcBorders>
            <w:shd w:val="clear" w:color="auto" w:fill="1F3863"/>
          </w:tcPr>
          <w:p w14:paraId="435709C3" w14:textId="77777777" w:rsidR="00F3373B" w:rsidRDefault="00F3373B" w:rsidP="00001A7C">
            <w:pPr>
              <w:pStyle w:val="TableParagraph"/>
              <w:spacing w:line="272" w:lineRule="exact"/>
              <w:ind w:left="107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color w:val="FFFFFF"/>
                <w:sz w:val="24"/>
              </w:rPr>
              <w:t>Every Neighbourhood Thriving</w:t>
            </w:r>
          </w:p>
        </w:tc>
      </w:tr>
      <w:tr w:rsidR="00F3373B" w14:paraId="1EBA6957" w14:textId="77777777" w:rsidTr="00F3373B">
        <w:trPr>
          <w:trHeight w:val="1422"/>
        </w:trPr>
        <w:tc>
          <w:tcPr>
            <w:tcW w:w="6947" w:type="dxa"/>
            <w:gridSpan w:val="3"/>
            <w:shd w:val="clear" w:color="auto" w:fill="8495AF"/>
          </w:tcPr>
          <w:p w14:paraId="0F308A3B" w14:textId="77777777" w:rsidR="00F3373B" w:rsidRDefault="00F3373B" w:rsidP="00001A7C">
            <w:pPr>
              <w:pStyle w:val="TableParagraph"/>
              <w:spacing w:line="292" w:lineRule="exact"/>
              <w:ind w:left="107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Outcomes</w:t>
            </w:r>
          </w:p>
          <w:p w14:paraId="5433C363" w14:textId="77777777" w:rsidR="00F3373B" w:rsidRDefault="00F3373B" w:rsidP="00F3373B">
            <w:pPr>
              <w:pStyle w:val="TableParagraph"/>
              <w:numPr>
                <w:ilvl w:val="0"/>
                <w:numId w:val="8"/>
              </w:numPr>
              <w:tabs>
                <w:tab w:val="left" w:pos="827"/>
                <w:tab w:val="left" w:pos="828"/>
              </w:tabs>
              <w:rPr>
                <w:rFonts w:ascii="Symbol" w:hAnsi="Symbol"/>
              </w:rPr>
            </w:pPr>
            <w:r>
              <w:rPr>
                <w:rFonts w:ascii="Calibri" w:hAnsi="Calibri"/>
              </w:rPr>
              <w:t>Work with communities on the things that matter to</w:t>
            </w:r>
            <w:r>
              <w:rPr>
                <w:rFonts w:ascii="Calibri" w:hAnsi="Calibri"/>
                <w:spacing w:val="-15"/>
              </w:rPr>
              <w:t xml:space="preserve"> </w:t>
            </w:r>
            <w:proofErr w:type="gramStart"/>
            <w:r>
              <w:rPr>
                <w:rFonts w:ascii="Calibri" w:hAnsi="Calibri"/>
              </w:rPr>
              <w:t>them</w:t>
            </w:r>
            <w:proofErr w:type="gramEnd"/>
          </w:p>
          <w:p w14:paraId="60DB9184" w14:textId="77777777" w:rsidR="00F3373B" w:rsidRDefault="00F3373B" w:rsidP="00F3373B">
            <w:pPr>
              <w:pStyle w:val="TableParagraph"/>
              <w:numPr>
                <w:ilvl w:val="0"/>
                <w:numId w:val="8"/>
              </w:numPr>
              <w:tabs>
                <w:tab w:val="left" w:pos="827"/>
                <w:tab w:val="left" w:pos="828"/>
              </w:tabs>
              <w:ind w:right="389" w:hanging="360"/>
              <w:rPr>
                <w:rFonts w:ascii="Symbol" w:hAnsi="Symbol"/>
              </w:rPr>
            </w:pPr>
            <w:r>
              <w:rPr>
                <w:rFonts w:ascii="Calibri" w:hAnsi="Calibri"/>
              </w:rPr>
              <w:t>Residents, organisations and businesses use their skills and resources to help</w:t>
            </w:r>
            <w:r>
              <w:rPr>
                <w:rFonts w:ascii="Calibri" w:hAnsi="Calibri"/>
                <w:spacing w:val="-2"/>
              </w:rPr>
              <w:t xml:space="preserve"> </w:t>
            </w:r>
            <w:proofErr w:type="gramStart"/>
            <w:r>
              <w:rPr>
                <w:rFonts w:ascii="Calibri" w:hAnsi="Calibri"/>
              </w:rPr>
              <w:t>others</w:t>
            </w:r>
            <w:proofErr w:type="gramEnd"/>
          </w:p>
          <w:p w14:paraId="626A6C03" w14:textId="77777777" w:rsidR="00F3373B" w:rsidRDefault="00F3373B" w:rsidP="00F3373B">
            <w:pPr>
              <w:pStyle w:val="TableParagraph"/>
              <w:numPr>
                <w:ilvl w:val="0"/>
                <w:numId w:val="8"/>
              </w:numPr>
              <w:tabs>
                <w:tab w:val="left" w:pos="827"/>
                <w:tab w:val="left" w:pos="828"/>
              </w:tabs>
              <w:spacing w:line="281" w:lineRule="exact"/>
              <w:rPr>
                <w:rFonts w:ascii="Symbol" w:hAnsi="Symbol"/>
                <w:sz w:val="24"/>
              </w:rPr>
            </w:pPr>
            <w:r>
              <w:rPr>
                <w:rFonts w:ascii="Calibri" w:hAnsi="Calibri"/>
              </w:rPr>
              <w:t>Neighbourhoods are welcoming and</w:t>
            </w:r>
            <w:r>
              <w:rPr>
                <w:rFonts w:ascii="Calibri" w:hAnsi="Calibri"/>
                <w:spacing w:val="-7"/>
              </w:rPr>
              <w:t xml:space="preserve"> </w:t>
            </w:r>
            <w:r>
              <w:rPr>
                <w:rFonts w:ascii="Calibri" w:hAnsi="Calibri"/>
              </w:rPr>
              <w:t>safe</w:t>
            </w:r>
          </w:p>
        </w:tc>
        <w:tc>
          <w:tcPr>
            <w:tcW w:w="8930" w:type="dxa"/>
            <w:gridSpan w:val="3"/>
            <w:shd w:val="clear" w:color="auto" w:fill="8495AF"/>
          </w:tcPr>
          <w:p w14:paraId="27BEA0FC" w14:textId="77777777" w:rsidR="00F3373B" w:rsidRDefault="00F3373B" w:rsidP="00001A7C">
            <w:pPr>
              <w:pStyle w:val="TableParagraph"/>
              <w:spacing w:before="2"/>
              <w:ind w:left="0"/>
              <w:rPr>
                <w:b/>
                <w:sz w:val="23"/>
              </w:rPr>
            </w:pPr>
          </w:p>
          <w:p w14:paraId="57329A9E" w14:textId="77777777" w:rsidR="00F3373B" w:rsidRDefault="00F3373B" w:rsidP="00F3373B">
            <w:pPr>
              <w:pStyle w:val="TableParagraph"/>
              <w:numPr>
                <w:ilvl w:val="0"/>
                <w:numId w:val="7"/>
              </w:numPr>
              <w:tabs>
                <w:tab w:val="left" w:pos="828"/>
                <w:tab w:val="left" w:pos="829"/>
              </w:tabs>
              <w:spacing w:before="1"/>
              <w:ind w:right="326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Local people have access to libraries, cultural activities, parks and green </w:t>
            </w:r>
            <w:proofErr w:type="gramStart"/>
            <w:r>
              <w:rPr>
                <w:rFonts w:ascii="Calibri" w:hAnsi="Calibri"/>
              </w:rPr>
              <w:t>spaces</w:t>
            </w:r>
            <w:proofErr w:type="gramEnd"/>
          </w:p>
          <w:p w14:paraId="4B628CA5" w14:textId="77777777" w:rsidR="00F3373B" w:rsidRDefault="00F3373B" w:rsidP="00F3373B">
            <w:pPr>
              <w:pStyle w:val="TableParagraph"/>
              <w:numPr>
                <w:ilvl w:val="0"/>
                <w:numId w:val="7"/>
              </w:numPr>
              <w:tabs>
                <w:tab w:val="left" w:pos="828"/>
                <w:tab w:val="left" w:pos="829"/>
              </w:tabs>
              <w:ind w:hanging="361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Improved local towns and villages are</w:t>
            </w:r>
            <w:r>
              <w:rPr>
                <w:rFonts w:ascii="Calibri" w:hAnsi="Calibri"/>
                <w:spacing w:val="-6"/>
              </w:rPr>
              <w:t xml:space="preserve"> </w:t>
            </w:r>
            <w:r>
              <w:rPr>
                <w:rFonts w:ascii="Calibri" w:hAnsi="Calibri"/>
              </w:rPr>
              <w:t>improved</w:t>
            </w:r>
          </w:p>
        </w:tc>
      </w:tr>
      <w:tr w:rsidR="00F3373B" w14:paraId="099D6758" w14:textId="77777777" w:rsidTr="00F3373B">
        <w:trPr>
          <w:trHeight w:val="1379"/>
        </w:trPr>
        <w:tc>
          <w:tcPr>
            <w:tcW w:w="1135" w:type="dxa"/>
          </w:tcPr>
          <w:p w14:paraId="7067E873" w14:textId="77777777" w:rsidR="00F3373B" w:rsidRDefault="00F3373B" w:rsidP="00001A7C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 w:rsidRPr="00544FD9">
              <w:rPr>
                <w:sz w:val="20"/>
              </w:rPr>
              <w:t>NE05a</w:t>
            </w:r>
          </w:p>
        </w:tc>
        <w:tc>
          <w:tcPr>
            <w:tcW w:w="3969" w:type="dxa"/>
          </w:tcPr>
          <w:p w14:paraId="5D4D664E" w14:textId="77777777" w:rsidR="00F3373B" w:rsidRDefault="00F3373B" w:rsidP="00001A7C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 w:rsidRPr="00544FD9">
              <w:rPr>
                <w:sz w:val="20"/>
              </w:rPr>
              <w:t>Proportion of the local "principal" road network classed as ‘green status’ (do not require repair)</w:t>
            </w:r>
          </w:p>
        </w:tc>
        <w:tc>
          <w:tcPr>
            <w:tcW w:w="1843" w:type="dxa"/>
          </w:tcPr>
          <w:p w14:paraId="7D5AB924" w14:textId="77777777" w:rsidR="00F3373B" w:rsidRDefault="00F3373B" w:rsidP="00001A7C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High </w:t>
            </w:r>
          </w:p>
        </w:tc>
        <w:tc>
          <w:tcPr>
            <w:tcW w:w="1984" w:type="dxa"/>
          </w:tcPr>
          <w:p w14:paraId="1C7D8F1E" w14:textId="77777777" w:rsidR="00F3373B" w:rsidRDefault="00F3373B" w:rsidP="00001A7C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72%</w:t>
            </w:r>
          </w:p>
        </w:tc>
        <w:tc>
          <w:tcPr>
            <w:tcW w:w="1985" w:type="dxa"/>
          </w:tcPr>
          <w:p w14:paraId="17E84140" w14:textId="77777777" w:rsidR="00F3373B" w:rsidRDefault="00F3373B" w:rsidP="00001A7C">
            <w:pPr>
              <w:pStyle w:val="TableParagraph"/>
              <w:spacing w:line="229" w:lineRule="exact"/>
              <w:rPr>
                <w:sz w:val="20"/>
              </w:rPr>
            </w:pPr>
            <w:r w:rsidRPr="00544FD9">
              <w:rPr>
                <w:sz w:val="20"/>
              </w:rPr>
              <w:t>79.4%</w:t>
            </w:r>
          </w:p>
        </w:tc>
        <w:tc>
          <w:tcPr>
            <w:tcW w:w="4961" w:type="dxa"/>
          </w:tcPr>
          <w:p w14:paraId="441BF570" w14:textId="77777777" w:rsidR="00F3373B" w:rsidRPr="00544FD9" w:rsidRDefault="00F3373B" w:rsidP="00001A7C">
            <w:pPr>
              <w:pStyle w:val="TableParagraph"/>
              <w:ind w:left="109" w:right="154"/>
              <w:rPr>
                <w:sz w:val="20"/>
              </w:rPr>
            </w:pPr>
            <w:r w:rsidRPr="00544FD9">
              <w:rPr>
                <w:sz w:val="20"/>
              </w:rPr>
              <w:t>Change</w:t>
            </w:r>
            <w:r>
              <w:rPr>
                <w:sz w:val="20"/>
              </w:rPr>
              <w:t>d</w:t>
            </w:r>
            <w:r w:rsidRPr="00544FD9">
              <w:rPr>
                <w:sz w:val="20"/>
              </w:rPr>
              <w:t xml:space="preserve"> to final performance position for 2023-24.</w:t>
            </w:r>
          </w:p>
          <w:p w14:paraId="7FA3A492" w14:textId="77777777" w:rsidR="00F3373B" w:rsidRPr="00544FD9" w:rsidRDefault="00F3373B" w:rsidP="00001A7C">
            <w:pPr>
              <w:pStyle w:val="TableParagraph"/>
              <w:ind w:left="109" w:right="154"/>
              <w:rPr>
                <w:sz w:val="20"/>
              </w:rPr>
            </w:pPr>
          </w:p>
          <w:p w14:paraId="43ED81E8" w14:textId="77777777" w:rsidR="00F3373B" w:rsidRDefault="00F3373B" w:rsidP="00001A7C">
            <w:pPr>
              <w:pStyle w:val="TableParagraph"/>
              <w:ind w:left="109" w:right="154"/>
              <w:rPr>
                <w:sz w:val="20"/>
              </w:rPr>
            </w:pPr>
            <w:r w:rsidRPr="00544FD9">
              <w:rPr>
                <w:sz w:val="20"/>
              </w:rPr>
              <w:t>This change is based on the funding allocation provided which is specifically to maintain the improvement made.  As a result of reduced funding available for road maintenance, propose moving away from the national averages to set targets.</w:t>
            </w:r>
          </w:p>
        </w:tc>
      </w:tr>
      <w:tr w:rsidR="00F3373B" w14:paraId="6A1CBD75" w14:textId="77777777" w:rsidTr="00F3373B">
        <w:trPr>
          <w:trHeight w:val="1379"/>
        </w:trPr>
        <w:tc>
          <w:tcPr>
            <w:tcW w:w="1135" w:type="dxa"/>
          </w:tcPr>
          <w:p w14:paraId="76924813" w14:textId="77777777" w:rsidR="00F3373B" w:rsidRPr="00544FD9" w:rsidRDefault="00F3373B" w:rsidP="00001A7C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 w:rsidRPr="00544FD9">
              <w:rPr>
                <w:sz w:val="20"/>
              </w:rPr>
              <w:t>NE05b</w:t>
            </w:r>
          </w:p>
        </w:tc>
        <w:tc>
          <w:tcPr>
            <w:tcW w:w="3969" w:type="dxa"/>
          </w:tcPr>
          <w:p w14:paraId="64E3E814" w14:textId="77777777" w:rsidR="00F3373B" w:rsidRPr="00544FD9" w:rsidRDefault="00F3373B" w:rsidP="00001A7C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 w:rsidRPr="00544FD9">
              <w:rPr>
                <w:sz w:val="20"/>
              </w:rPr>
              <w:t>Proportion of the local "non-principal" road network classed as ‘green status’ (do not require repair)</w:t>
            </w:r>
          </w:p>
        </w:tc>
        <w:tc>
          <w:tcPr>
            <w:tcW w:w="1843" w:type="dxa"/>
          </w:tcPr>
          <w:p w14:paraId="164B25C1" w14:textId="77777777" w:rsidR="00F3373B" w:rsidRDefault="00F3373B" w:rsidP="00001A7C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High </w:t>
            </w:r>
          </w:p>
        </w:tc>
        <w:tc>
          <w:tcPr>
            <w:tcW w:w="1984" w:type="dxa"/>
          </w:tcPr>
          <w:p w14:paraId="5BF41276" w14:textId="77777777" w:rsidR="00F3373B" w:rsidRDefault="00F3373B" w:rsidP="00001A7C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66%</w:t>
            </w:r>
          </w:p>
        </w:tc>
        <w:tc>
          <w:tcPr>
            <w:tcW w:w="1985" w:type="dxa"/>
          </w:tcPr>
          <w:p w14:paraId="3D751F4B" w14:textId="77777777" w:rsidR="00F3373B" w:rsidRDefault="00F3373B" w:rsidP="00001A7C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77%</w:t>
            </w:r>
          </w:p>
        </w:tc>
        <w:tc>
          <w:tcPr>
            <w:tcW w:w="4961" w:type="dxa"/>
          </w:tcPr>
          <w:p w14:paraId="513E65B3" w14:textId="77777777" w:rsidR="00F3373B" w:rsidRPr="00544FD9" w:rsidRDefault="00F3373B" w:rsidP="00001A7C">
            <w:pPr>
              <w:pStyle w:val="TableParagraph"/>
              <w:ind w:left="109" w:right="154"/>
              <w:rPr>
                <w:sz w:val="20"/>
              </w:rPr>
            </w:pPr>
            <w:r w:rsidRPr="00544FD9">
              <w:rPr>
                <w:sz w:val="20"/>
              </w:rPr>
              <w:t>Change</w:t>
            </w:r>
            <w:r>
              <w:rPr>
                <w:sz w:val="20"/>
              </w:rPr>
              <w:t>d</w:t>
            </w:r>
            <w:r w:rsidRPr="00544FD9">
              <w:rPr>
                <w:sz w:val="20"/>
              </w:rPr>
              <w:t xml:space="preserve"> to final performance position for 2023-24.</w:t>
            </w:r>
          </w:p>
          <w:p w14:paraId="61D05B9E" w14:textId="77777777" w:rsidR="00F3373B" w:rsidRPr="00544FD9" w:rsidRDefault="00F3373B" w:rsidP="00001A7C">
            <w:pPr>
              <w:pStyle w:val="TableParagraph"/>
              <w:ind w:left="109" w:right="154"/>
              <w:rPr>
                <w:sz w:val="20"/>
              </w:rPr>
            </w:pPr>
          </w:p>
          <w:p w14:paraId="1157A334" w14:textId="77777777" w:rsidR="00F3373B" w:rsidRDefault="00F3373B" w:rsidP="00001A7C">
            <w:pPr>
              <w:pStyle w:val="TableParagraph"/>
              <w:ind w:left="109" w:right="154"/>
              <w:rPr>
                <w:sz w:val="20"/>
              </w:rPr>
            </w:pPr>
            <w:r w:rsidRPr="00544FD9">
              <w:rPr>
                <w:sz w:val="20"/>
              </w:rPr>
              <w:t>This change is based on the funding allocation provided which is specifically to maintain the improvement made.  As a result of reduced funding available for road maintenance, propose moving away from the national averages to set targets.</w:t>
            </w:r>
          </w:p>
        </w:tc>
      </w:tr>
      <w:tr w:rsidR="00F3373B" w14:paraId="652E96F1" w14:textId="77777777" w:rsidTr="00F3373B">
        <w:trPr>
          <w:trHeight w:val="1379"/>
        </w:trPr>
        <w:tc>
          <w:tcPr>
            <w:tcW w:w="1135" w:type="dxa"/>
          </w:tcPr>
          <w:p w14:paraId="6B9D1ADA" w14:textId="77777777" w:rsidR="00F3373B" w:rsidRPr="00544FD9" w:rsidRDefault="00F3373B" w:rsidP="00001A7C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NE05c</w:t>
            </w:r>
          </w:p>
        </w:tc>
        <w:tc>
          <w:tcPr>
            <w:tcW w:w="3969" w:type="dxa"/>
          </w:tcPr>
          <w:p w14:paraId="051C05E0" w14:textId="77777777" w:rsidR="00F3373B" w:rsidRPr="00544FD9" w:rsidRDefault="00F3373B" w:rsidP="00001A7C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 w:rsidRPr="00544FD9">
              <w:rPr>
                <w:sz w:val="20"/>
              </w:rPr>
              <w:t>Proportion of the local "unclassified" road network classed as ‘green status’ (do not require repair)</w:t>
            </w:r>
          </w:p>
        </w:tc>
        <w:tc>
          <w:tcPr>
            <w:tcW w:w="1843" w:type="dxa"/>
          </w:tcPr>
          <w:p w14:paraId="1F1A0C6A" w14:textId="77777777" w:rsidR="00F3373B" w:rsidRDefault="00F3373B" w:rsidP="00001A7C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High </w:t>
            </w:r>
          </w:p>
        </w:tc>
        <w:tc>
          <w:tcPr>
            <w:tcW w:w="1984" w:type="dxa"/>
          </w:tcPr>
          <w:p w14:paraId="455AEE2A" w14:textId="77777777" w:rsidR="00F3373B" w:rsidRDefault="00F3373B" w:rsidP="00001A7C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60%</w:t>
            </w:r>
          </w:p>
        </w:tc>
        <w:tc>
          <w:tcPr>
            <w:tcW w:w="1985" w:type="dxa"/>
          </w:tcPr>
          <w:p w14:paraId="4C6F88D0" w14:textId="77777777" w:rsidR="00F3373B" w:rsidRDefault="00F3373B" w:rsidP="00001A7C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64.9%</w:t>
            </w:r>
          </w:p>
        </w:tc>
        <w:tc>
          <w:tcPr>
            <w:tcW w:w="4961" w:type="dxa"/>
          </w:tcPr>
          <w:p w14:paraId="6DE07F4F" w14:textId="77777777" w:rsidR="00F3373B" w:rsidRPr="00544FD9" w:rsidRDefault="00F3373B" w:rsidP="00001A7C">
            <w:pPr>
              <w:pStyle w:val="TableParagraph"/>
              <w:ind w:left="109" w:right="154"/>
              <w:rPr>
                <w:sz w:val="20"/>
              </w:rPr>
            </w:pPr>
            <w:r w:rsidRPr="00544FD9">
              <w:rPr>
                <w:sz w:val="20"/>
              </w:rPr>
              <w:t>Change</w:t>
            </w:r>
            <w:r>
              <w:rPr>
                <w:sz w:val="20"/>
              </w:rPr>
              <w:t>d</w:t>
            </w:r>
            <w:r w:rsidRPr="00544FD9">
              <w:rPr>
                <w:sz w:val="20"/>
              </w:rPr>
              <w:t xml:space="preserve"> to final performance position for 2023-24.</w:t>
            </w:r>
          </w:p>
          <w:p w14:paraId="5880DB2E" w14:textId="77777777" w:rsidR="00F3373B" w:rsidRPr="00544FD9" w:rsidRDefault="00F3373B" w:rsidP="00001A7C">
            <w:pPr>
              <w:pStyle w:val="TableParagraph"/>
              <w:ind w:left="109" w:right="154"/>
              <w:rPr>
                <w:sz w:val="20"/>
              </w:rPr>
            </w:pPr>
          </w:p>
          <w:p w14:paraId="626559B0" w14:textId="77777777" w:rsidR="00F3373B" w:rsidRPr="00544FD9" w:rsidRDefault="00F3373B" w:rsidP="00001A7C">
            <w:pPr>
              <w:pStyle w:val="TableParagraph"/>
              <w:ind w:left="109" w:right="154"/>
              <w:rPr>
                <w:sz w:val="20"/>
              </w:rPr>
            </w:pPr>
            <w:r w:rsidRPr="00544FD9">
              <w:rPr>
                <w:sz w:val="20"/>
              </w:rPr>
              <w:t>This change is based on the funding allocation provided which is specifically to maintain the improvement made.  As a result of reduced funding available for road maintenance, propose moving away from the national averages to set targets.</w:t>
            </w:r>
          </w:p>
        </w:tc>
      </w:tr>
      <w:tr w:rsidR="00F3373B" w14:paraId="3CFDED59" w14:textId="77777777" w:rsidTr="00F3373B">
        <w:trPr>
          <w:trHeight w:val="1379"/>
        </w:trPr>
        <w:tc>
          <w:tcPr>
            <w:tcW w:w="1135" w:type="dxa"/>
          </w:tcPr>
          <w:p w14:paraId="47618BDE" w14:textId="77777777" w:rsidR="00F3373B" w:rsidRDefault="00F3373B" w:rsidP="00001A7C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lastRenderedPageBreak/>
              <w:t>NE07a</w:t>
            </w:r>
          </w:p>
        </w:tc>
        <w:tc>
          <w:tcPr>
            <w:tcW w:w="3969" w:type="dxa"/>
          </w:tcPr>
          <w:p w14:paraId="043FA835" w14:textId="77777777" w:rsidR="00F3373B" w:rsidRDefault="00F3373B" w:rsidP="00001A7C">
            <w:pPr>
              <w:pStyle w:val="TableParagraph"/>
              <w:spacing w:before="1"/>
              <w:ind w:left="107" w:right="199"/>
              <w:rPr>
                <w:sz w:val="20"/>
              </w:rPr>
            </w:pPr>
            <w:r w:rsidRPr="00544FD9">
              <w:rPr>
                <w:sz w:val="20"/>
              </w:rPr>
              <w:t xml:space="preserve">Number of visits to culture, </w:t>
            </w:r>
            <w:proofErr w:type="gramStart"/>
            <w:r w:rsidRPr="00544FD9">
              <w:rPr>
                <w:sz w:val="20"/>
              </w:rPr>
              <w:t>sport</w:t>
            </w:r>
            <w:proofErr w:type="gramEnd"/>
            <w:r w:rsidRPr="00544FD9">
              <w:rPr>
                <w:sz w:val="20"/>
              </w:rPr>
              <w:t xml:space="preserve"> and tourism facilities (all population - cumulative)</w:t>
            </w:r>
          </w:p>
        </w:tc>
        <w:tc>
          <w:tcPr>
            <w:tcW w:w="1843" w:type="dxa"/>
          </w:tcPr>
          <w:p w14:paraId="1924A397" w14:textId="77777777" w:rsidR="00F3373B" w:rsidRDefault="00F3373B" w:rsidP="00001A7C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High</w:t>
            </w:r>
          </w:p>
        </w:tc>
        <w:tc>
          <w:tcPr>
            <w:tcW w:w="1984" w:type="dxa"/>
          </w:tcPr>
          <w:p w14:paraId="2DA4A362" w14:textId="77777777" w:rsidR="00F3373B" w:rsidRDefault="00F3373B" w:rsidP="00001A7C">
            <w:pPr>
              <w:pStyle w:val="TableParagraph"/>
              <w:spacing w:line="229" w:lineRule="exact"/>
              <w:rPr>
                <w:sz w:val="20"/>
              </w:rPr>
            </w:pPr>
            <w:r w:rsidRPr="00544FD9">
              <w:rPr>
                <w:sz w:val="20"/>
              </w:rPr>
              <w:t>3</w:t>
            </w:r>
            <w:r>
              <w:rPr>
                <w:sz w:val="20"/>
              </w:rPr>
              <w:t>,</w:t>
            </w:r>
            <w:r w:rsidRPr="00544FD9">
              <w:rPr>
                <w:sz w:val="20"/>
              </w:rPr>
              <w:t>500</w:t>
            </w:r>
            <w:r>
              <w:rPr>
                <w:sz w:val="20"/>
              </w:rPr>
              <w:t>,</w:t>
            </w:r>
            <w:r w:rsidRPr="00544FD9">
              <w:rPr>
                <w:sz w:val="20"/>
              </w:rPr>
              <w:t>000</w:t>
            </w:r>
          </w:p>
        </w:tc>
        <w:tc>
          <w:tcPr>
            <w:tcW w:w="1985" w:type="dxa"/>
          </w:tcPr>
          <w:p w14:paraId="201CC40A" w14:textId="77777777" w:rsidR="00F3373B" w:rsidRDefault="00F3373B" w:rsidP="00001A7C">
            <w:pPr>
              <w:pStyle w:val="TableParagraph"/>
              <w:spacing w:line="229" w:lineRule="exact"/>
              <w:rPr>
                <w:sz w:val="20"/>
              </w:rPr>
            </w:pPr>
            <w:r w:rsidRPr="00544FD9">
              <w:rPr>
                <w:sz w:val="20"/>
              </w:rPr>
              <w:t>4</w:t>
            </w:r>
            <w:r>
              <w:rPr>
                <w:sz w:val="20"/>
              </w:rPr>
              <w:t>,</w:t>
            </w:r>
            <w:r w:rsidRPr="00544FD9">
              <w:rPr>
                <w:sz w:val="20"/>
              </w:rPr>
              <w:t>000</w:t>
            </w:r>
            <w:r>
              <w:rPr>
                <w:sz w:val="20"/>
              </w:rPr>
              <w:t>,</w:t>
            </w:r>
            <w:r w:rsidRPr="00544FD9">
              <w:rPr>
                <w:sz w:val="20"/>
              </w:rPr>
              <w:t>000</w:t>
            </w:r>
          </w:p>
        </w:tc>
        <w:tc>
          <w:tcPr>
            <w:tcW w:w="4961" w:type="dxa"/>
          </w:tcPr>
          <w:p w14:paraId="0A997A85" w14:textId="77777777" w:rsidR="00F3373B" w:rsidRDefault="00F3373B" w:rsidP="00001A7C">
            <w:pPr>
              <w:pStyle w:val="TableParagraph"/>
              <w:ind w:left="109" w:right="154"/>
              <w:rPr>
                <w:sz w:val="20"/>
              </w:rPr>
            </w:pPr>
            <w:r>
              <w:rPr>
                <w:sz w:val="20"/>
              </w:rPr>
              <w:t>Target increased based on performance in 2023-24 (</w:t>
            </w:r>
            <w:r w:rsidRPr="00544FD9">
              <w:rPr>
                <w:sz w:val="20"/>
              </w:rPr>
              <w:t>4</w:t>
            </w:r>
            <w:r>
              <w:rPr>
                <w:sz w:val="20"/>
              </w:rPr>
              <w:t>,</w:t>
            </w:r>
            <w:r w:rsidRPr="00544FD9">
              <w:rPr>
                <w:sz w:val="20"/>
              </w:rPr>
              <w:t>029</w:t>
            </w:r>
            <w:r>
              <w:rPr>
                <w:sz w:val="20"/>
              </w:rPr>
              <w:t>,</w:t>
            </w:r>
            <w:r w:rsidRPr="00544FD9">
              <w:rPr>
                <w:sz w:val="20"/>
              </w:rPr>
              <w:t>832</w:t>
            </w:r>
            <w:r>
              <w:rPr>
                <w:sz w:val="20"/>
              </w:rPr>
              <w:t>)</w:t>
            </w:r>
          </w:p>
        </w:tc>
      </w:tr>
      <w:tr w:rsidR="00F3373B" w14:paraId="060343AB" w14:textId="77777777" w:rsidTr="00F3373B">
        <w:trPr>
          <w:trHeight w:val="311"/>
        </w:trPr>
        <w:tc>
          <w:tcPr>
            <w:tcW w:w="15877" w:type="dxa"/>
            <w:gridSpan w:val="6"/>
            <w:shd w:val="clear" w:color="auto" w:fill="00B0F0"/>
          </w:tcPr>
          <w:p w14:paraId="74874F89" w14:textId="77777777" w:rsidR="00F3373B" w:rsidRDefault="00F3373B" w:rsidP="00001A7C">
            <w:pPr>
              <w:pStyle w:val="TableParagraph"/>
              <w:ind w:left="109" w:right="154"/>
              <w:rPr>
                <w:sz w:val="20"/>
              </w:rPr>
            </w:pPr>
            <w:r>
              <w:rPr>
                <w:rFonts w:ascii="Calibri"/>
                <w:b/>
                <w:sz w:val="24"/>
              </w:rPr>
              <w:t>People are Safe, Healthy and Live Well</w:t>
            </w:r>
          </w:p>
        </w:tc>
      </w:tr>
      <w:tr w:rsidR="00F3373B" w14:paraId="3315F638" w14:textId="77777777" w:rsidTr="00F3373B">
        <w:trPr>
          <w:trHeight w:val="1379"/>
        </w:trPr>
        <w:tc>
          <w:tcPr>
            <w:tcW w:w="6947" w:type="dxa"/>
            <w:gridSpan w:val="3"/>
            <w:shd w:val="clear" w:color="auto" w:fill="D5DCE4" w:themeFill="text2" w:themeFillTint="33"/>
          </w:tcPr>
          <w:p w14:paraId="4647A534" w14:textId="77777777" w:rsidR="00F3373B" w:rsidRDefault="00F3373B" w:rsidP="00001A7C">
            <w:pPr>
              <w:pStyle w:val="TableParagraph"/>
              <w:ind w:left="107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Outcomes</w:t>
            </w:r>
          </w:p>
          <w:p w14:paraId="45998A91" w14:textId="77777777" w:rsidR="00F3373B" w:rsidRDefault="00F3373B" w:rsidP="00F3373B">
            <w:pPr>
              <w:pStyle w:val="TableParagraph"/>
              <w:numPr>
                <w:ilvl w:val="0"/>
                <w:numId w:val="6"/>
              </w:numPr>
              <w:tabs>
                <w:tab w:val="left" w:pos="827"/>
                <w:tab w:val="left" w:pos="828"/>
              </w:tabs>
              <w:rPr>
                <w:rFonts w:ascii="Symbol" w:hAnsi="Symbol"/>
              </w:rPr>
            </w:pPr>
            <w:r>
              <w:rPr>
                <w:rFonts w:ascii="Calibri" w:hAnsi="Calibri"/>
              </w:rPr>
              <w:t>People have good mental health and physical</w:t>
            </w:r>
            <w:r>
              <w:rPr>
                <w:rFonts w:ascii="Calibri" w:hAnsi="Calibri"/>
                <w:spacing w:val="-8"/>
              </w:rPr>
              <w:t xml:space="preserve"> </w:t>
            </w:r>
            <w:proofErr w:type="gramStart"/>
            <w:r>
              <w:rPr>
                <w:rFonts w:ascii="Calibri" w:hAnsi="Calibri"/>
              </w:rPr>
              <w:t>wellbeing</w:t>
            </w:r>
            <w:proofErr w:type="gramEnd"/>
          </w:p>
          <w:p w14:paraId="2E65ABE0" w14:textId="77777777" w:rsidR="00F3373B" w:rsidRPr="00544FD9" w:rsidRDefault="00F3373B" w:rsidP="00F3373B">
            <w:pPr>
              <w:pStyle w:val="TableParagraph"/>
              <w:numPr>
                <w:ilvl w:val="0"/>
                <w:numId w:val="6"/>
              </w:numPr>
              <w:tabs>
                <w:tab w:val="left" w:pos="827"/>
                <w:tab w:val="left" w:pos="828"/>
              </w:tabs>
              <w:rPr>
                <w:rFonts w:ascii="Symbol" w:hAnsi="Symbol"/>
              </w:rPr>
            </w:pPr>
            <w:r w:rsidRPr="00544FD9">
              <w:rPr>
                <w:rFonts w:ascii="Calibri" w:hAnsi="Calibri"/>
              </w:rPr>
              <w:t xml:space="preserve">People feel empowered, </w:t>
            </w:r>
            <w:proofErr w:type="gramStart"/>
            <w:r w:rsidRPr="00544FD9">
              <w:rPr>
                <w:rFonts w:ascii="Calibri" w:hAnsi="Calibri"/>
              </w:rPr>
              <w:t>safe</w:t>
            </w:r>
            <w:proofErr w:type="gramEnd"/>
            <w:r w:rsidRPr="00544FD9">
              <w:rPr>
                <w:rFonts w:ascii="Calibri" w:hAnsi="Calibri"/>
              </w:rPr>
              <w:t xml:space="preserve"> and live independently for as long as</w:t>
            </w:r>
            <w:r w:rsidRPr="00544FD9">
              <w:rPr>
                <w:rFonts w:ascii="Calibri" w:hAnsi="Calibri"/>
                <w:spacing w:val="-21"/>
              </w:rPr>
              <w:t xml:space="preserve"> </w:t>
            </w:r>
            <w:r w:rsidRPr="00544FD9">
              <w:rPr>
                <w:rFonts w:ascii="Calibri" w:hAnsi="Calibri"/>
              </w:rPr>
              <w:t>possible</w:t>
            </w:r>
          </w:p>
        </w:tc>
        <w:tc>
          <w:tcPr>
            <w:tcW w:w="8930" w:type="dxa"/>
            <w:gridSpan w:val="3"/>
            <w:shd w:val="clear" w:color="auto" w:fill="D5DCE4" w:themeFill="text2" w:themeFillTint="33"/>
          </w:tcPr>
          <w:p w14:paraId="0D7F89FE" w14:textId="77777777" w:rsidR="00F3373B" w:rsidRDefault="00F3373B" w:rsidP="00001A7C">
            <w:pPr>
              <w:pStyle w:val="TableParagraph"/>
              <w:tabs>
                <w:tab w:val="left" w:pos="828"/>
                <w:tab w:val="left" w:pos="829"/>
              </w:tabs>
              <w:ind w:left="828"/>
              <w:rPr>
                <w:rFonts w:ascii="Calibri" w:hAnsi="Calibri"/>
              </w:rPr>
            </w:pPr>
          </w:p>
          <w:p w14:paraId="70DD920A" w14:textId="77777777" w:rsidR="00F3373B" w:rsidRDefault="00F3373B" w:rsidP="00F3373B">
            <w:pPr>
              <w:pStyle w:val="TableParagraph"/>
              <w:numPr>
                <w:ilvl w:val="0"/>
                <w:numId w:val="5"/>
              </w:numPr>
              <w:tabs>
                <w:tab w:val="left" w:pos="828"/>
                <w:tab w:val="left" w:pos="829"/>
              </w:tabs>
              <w:ind w:hanging="361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People can access affordable, decent</w:t>
            </w:r>
            <w:r>
              <w:rPr>
                <w:rFonts w:ascii="Calibri" w:hAnsi="Calibri"/>
                <w:spacing w:val="-4"/>
              </w:rPr>
              <w:t xml:space="preserve"> </w:t>
            </w:r>
            <w:proofErr w:type="gramStart"/>
            <w:r>
              <w:rPr>
                <w:rFonts w:ascii="Calibri" w:hAnsi="Calibri"/>
              </w:rPr>
              <w:t>housing</w:t>
            </w:r>
            <w:proofErr w:type="gramEnd"/>
          </w:p>
          <w:p w14:paraId="7F386F62" w14:textId="77777777" w:rsidR="00F3373B" w:rsidRPr="00544FD9" w:rsidRDefault="00F3373B" w:rsidP="00F3373B">
            <w:pPr>
              <w:pStyle w:val="TableParagraph"/>
              <w:numPr>
                <w:ilvl w:val="0"/>
                <w:numId w:val="5"/>
              </w:numPr>
              <w:tabs>
                <w:tab w:val="left" w:pos="828"/>
                <w:tab w:val="left" w:pos="829"/>
              </w:tabs>
              <w:ind w:hanging="361"/>
              <w:rPr>
                <w:rFonts w:ascii="Calibri" w:hAnsi="Calibri"/>
              </w:rPr>
            </w:pPr>
            <w:r w:rsidRPr="00544FD9">
              <w:rPr>
                <w:rFonts w:ascii="Calibri" w:hAnsi="Calibri"/>
              </w:rPr>
              <w:t>Inequalities are addressed and nobody is left</w:t>
            </w:r>
            <w:r w:rsidRPr="00544FD9">
              <w:rPr>
                <w:rFonts w:ascii="Calibri" w:hAnsi="Calibri"/>
                <w:spacing w:val="-8"/>
              </w:rPr>
              <w:t xml:space="preserve"> </w:t>
            </w:r>
            <w:r w:rsidRPr="00544FD9">
              <w:rPr>
                <w:rFonts w:ascii="Calibri" w:hAnsi="Calibri"/>
              </w:rPr>
              <w:t>behind</w:t>
            </w:r>
          </w:p>
        </w:tc>
      </w:tr>
      <w:tr w:rsidR="00F3373B" w14:paraId="4EF167D4" w14:textId="77777777" w:rsidTr="00F3373B">
        <w:trPr>
          <w:trHeight w:val="1379"/>
        </w:trPr>
        <w:tc>
          <w:tcPr>
            <w:tcW w:w="1135" w:type="dxa"/>
          </w:tcPr>
          <w:p w14:paraId="6C93804F" w14:textId="77777777" w:rsidR="00F3373B" w:rsidRDefault="00F3373B" w:rsidP="00001A7C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PE07</w:t>
            </w:r>
          </w:p>
        </w:tc>
        <w:tc>
          <w:tcPr>
            <w:tcW w:w="3969" w:type="dxa"/>
          </w:tcPr>
          <w:p w14:paraId="71AE38DA" w14:textId="77777777" w:rsidR="00F3373B" w:rsidRPr="00544FD9" w:rsidRDefault="00F3373B" w:rsidP="00001A7C">
            <w:pPr>
              <w:pStyle w:val="TableParagraph"/>
              <w:spacing w:before="1"/>
              <w:ind w:left="107" w:right="199"/>
              <w:rPr>
                <w:sz w:val="20"/>
              </w:rPr>
            </w:pPr>
            <w:r w:rsidRPr="00544FD9">
              <w:rPr>
                <w:sz w:val="20"/>
              </w:rPr>
              <w:t>Proportion of council housing stock that meets the "Decent Homes" standard</w:t>
            </w:r>
          </w:p>
        </w:tc>
        <w:tc>
          <w:tcPr>
            <w:tcW w:w="1843" w:type="dxa"/>
          </w:tcPr>
          <w:p w14:paraId="43C80199" w14:textId="77777777" w:rsidR="00F3373B" w:rsidRDefault="00F3373B" w:rsidP="00001A7C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High </w:t>
            </w:r>
          </w:p>
        </w:tc>
        <w:tc>
          <w:tcPr>
            <w:tcW w:w="1984" w:type="dxa"/>
          </w:tcPr>
          <w:p w14:paraId="6AF234E7" w14:textId="77777777" w:rsidR="00F3373B" w:rsidRPr="00544FD9" w:rsidRDefault="00F3373B" w:rsidP="00001A7C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100%</w:t>
            </w:r>
          </w:p>
        </w:tc>
        <w:tc>
          <w:tcPr>
            <w:tcW w:w="1985" w:type="dxa"/>
          </w:tcPr>
          <w:p w14:paraId="68E47874" w14:textId="77777777" w:rsidR="00F3373B" w:rsidRPr="00544FD9" w:rsidRDefault="00F3373B" w:rsidP="00001A7C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100%</w:t>
            </w:r>
          </w:p>
        </w:tc>
        <w:tc>
          <w:tcPr>
            <w:tcW w:w="4961" w:type="dxa"/>
          </w:tcPr>
          <w:p w14:paraId="21C20B54" w14:textId="4904ADA0" w:rsidR="004A7E79" w:rsidRDefault="00F3373B" w:rsidP="004A7E79">
            <w:pPr>
              <w:pStyle w:val="TableParagraph"/>
              <w:ind w:left="109" w:right="154"/>
              <w:rPr>
                <w:sz w:val="20"/>
              </w:rPr>
            </w:pPr>
            <w:r>
              <w:rPr>
                <w:sz w:val="20"/>
              </w:rPr>
              <w:t xml:space="preserve">The target for this measure remains unchanged, however the definition for this measure </w:t>
            </w:r>
            <w:r w:rsidR="00A2575A">
              <w:rPr>
                <w:sz w:val="20"/>
              </w:rPr>
              <w:t>has been changed</w:t>
            </w:r>
            <w:r>
              <w:rPr>
                <w:sz w:val="20"/>
              </w:rPr>
              <w:t xml:space="preserve"> </w:t>
            </w:r>
            <w:r w:rsidR="004A7E79">
              <w:rPr>
                <w:sz w:val="20"/>
                <w:szCs w:val="20"/>
                <w:lang w:eastAsia="en-US"/>
                <w14:ligatures w14:val="standardContextual"/>
              </w:rPr>
              <w:t xml:space="preserve">so that it aligns exactly with the Regulator of Social Housing technical requirements for Tenant Satisfaction Measures (TSMs), which must now be submitted by the Council to the Regulator annually. </w:t>
            </w:r>
          </w:p>
          <w:p w14:paraId="03FAFE10" w14:textId="77777777" w:rsidR="00F3373B" w:rsidRDefault="00F3373B" w:rsidP="004A7E79">
            <w:pPr>
              <w:pStyle w:val="TableParagraph"/>
              <w:ind w:right="154"/>
              <w:rPr>
                <w:sz w:val="20"/>
              </w:rPr>
            </w:pPr>
          </w:p>
        </w:tc>
      </w:tr>
      <w:tr w:rsidR="00F3373B" w14:paraId="2FA2D295" w14:textId="77777777" w:rsidTr="00F3373B">
        <w:trPr>
          <w:trHeight w:val="1379"/>
        </w:trPr>
        <w:tc>
          <w:tcPr>
            <w:tcW w:w="1135" w:type="dxa"/>
          </w:tcPr>
          <w:p w14:paraId="1E291CD0" w14:textId="41D9ACB3" w:rsidR="00F3373B" w:rsidRDefault="00F3373B" w:rsidP="00001A7C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PE1</w:t>
            </w:r>
            <w:r w:rsidR="00B21AAA">
              <w:rPr>
                <w:sz w:val="20"/>
              </w:rPr>
              <w:t>2</w:t>
            </w:r>
          </w:p>
        </w:tc>
        <w:tc>
          <w:tcPr>
            <w:tcW w:w="3969" w:type="dxa"/>
          </w:tcPr>
          <w:p w14:paraId="2A432783" w14:textId="77777777" w:rsidR="00F3373B" w:rsidRPr="00344597" w:rsidRDefault="00F3373B" w:rsidP="00001A7C">
            <w:pPr>
              <w:ind w:left="174"/>
              <w:rPr>
                <w:rFonts w:eastAsia="Times New Roman"/>
                <w:sz w:val="20"/>
                <w:szCs w:val="20"/>
                <w:lang w:bidi="ar-SA"/>
              </w:rPr>
            </w:pPr>
            <w:r w:rsidRPr="00344597">
              <w:rPr>
                <w:sz w:val="20"/>
                <w:szCs w:val="20"/>
              </w:rPr>
              <w:t xml:space="preserve">Proportion of new claims for Housing Benefits and Council Tax Support dealt with within 14 days of receipt of all necessary information.  </w:t>
            </w:r>
          </w:p>
          <w:p w14:paraId="6D4F9F29" w14:textId="77777777" w:rsidR="00F3373B" w:rsidRPr="00544FD9" w:rsidRDefault="00F3373B" w:rsidP="00001A7C">
            <w:pPr>
              <w:pStyle w:val="TableParagraph"/>
              <w:spacing w:before="1"/>
              <w:ind w:left="107" w:right="199"/>
              <w:rPr>
                <w:sz w:val="20"/>
              </w:rPr>
            </w:pPr>
          </w:p>
        </w:tc>
        <w:tc>
          <w:tcPr>
            <w:tcW w:w="1843" w:type="dxa"/>
          </w:tcPr>
          <w:p w14:paraId="2299C82E" w14:textId="77777777" w:rsidR="00F3373B" w:rsidRDefault="00F3373B" w:rsidP="00001A7C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High </w:t>
            </w:r>
          </w:p>
        </w:tc>
        <w:tc>
          <w:tcPr>
            <w:tcW w:w="1984" w:type="dxa"/>
          </w:tcPr>
          <w:p w14:paraId="00A14FED" w14:textId="77777777" w:rsidR="00F3373B" w:rsidRDefault="00F3373B" w:rsidP="00001A7C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90%</w:t>
            </w:r>
          </w:p>
        </w:tc>
        <w:tc>
          <w:tcPr>
            <w:tcW w:w="1985" w:type="dxa"/>
          </w:tcPr>
          <w:p w14:paraId="4783E7F3" w14:textId="77777777" w:rsidR="00F3373B" w:rsidRDefault="00F3373B" w:rsidP="00001A7C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98%</w:t>
            </w:r>
          </w:p>
        </w:tc>
        <w:tc>
          <w:tcPr>
            <w:tcW w:w="4961" w:type="dxa"/>
          </w:tcPr>
          <w:p w14:paraId="2A663F9A" w14:textId="77777777" w:rsidR="00F3373B" w:rsidRDefault="00F3373B" w:rsidP="00001A7C">
            <w:pPr>
              <w:pStyle w:val="TableParagraph"/>
              <w:ind w:left="109" w:right="154"/>
              <w:rPr>
                <w:sz w:val="20"/>
              </w:rPr>
            </w:pPr>
            <w:r w:rsidRPr="00344597">
              <w:rPr>
                <w:sz w:val="20"/>
              </w:rPr>
              <w:t xml:space="preserve">Exceeded target in current year so appropriate to ensure this remains challenging.  </w:t>
            </w:r>
          </w:p>
        </w:tc>
      </w:tr>
      <w:tr w:rsidR="00F3373B" w14:paraId="7A5FCD10" w14:textId="77777777" w:rsidTr="00F3373B">
        <w:trPr>
          <w:trHeight w:val="170"/>
        </w:trPr>
        <w:tc>
          <w:tcPr>
            <w:tcW w:w="15877" w:type="dxa"/>
            <w:gridSpan w:val="6"/>
            <w:shd w:val="clear" w:color="auto" w:fill="FF0000"/>
          </w:tcPr>
          <w:p w14:paraId="14757D97" w14:textId="77777777" w:rsidR="00F3373B" w:rsidRPr="00344597" w:rsidRDefault="00F3373B" w:rsidP="00001A7C">
            <w:pPr>
              <w:pStyle w:val="TableParagraph"/>
              <w:ind w:left="109" w:right="154"/>
              <w:rPr>
                <w:sz w:val="20"/>
              </w:rPr>
            </w:pPr>
            <w:r>
              <w:rPr>
                <w:rFonts w:ascii="Calibri"/>
                <w:b/>
                <w:sz w:val="24"/>
              </w:rPr>
              <w:t>Expanding Economic Opportunity</w:t>
            </w:r>
          </w:p>
        </w:tc>
      </w:tr>
      <w:tr w:rsidR="00F3373B" w14:paraId="5303BF2A" w14:textId="77777777" w:rsidTr="00F3373B">
        <w:trPr>
          <w:trHeight w:val="1379"/>
        </w:trPr>
        <w:tc>
          <w:tcPr>
            <w:tcW w:w="6947" w:type="dxa"/>
            <w:gridSpan w:val="3"/>
            <w:shd w:val="clear" w:color="auto" w:fill="FBE4D5" w:themeFill="accent2" w:themeFillTint="33"/>
          </w:tcPr>
          <w:p w14:paraId="484ADC64" w14:textId="77777777" w:rsidR="00F3373B" w:rsidRDefault="00F3373B" w:rsidP="00001A7C">
            <w:pPr>
              <w:pStyle w:val="TableParagraph"/>
              <w:spacing w:before="1" w:line="292" w:lineRule="exact"/>
              <w:ind w:left="107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Outcomes</w:t>
            </w:r>
          </w:p>
          <w:p w14:paraId="7AF5D2A6" w14:textId="77777777" w:rsidR="00F3373B" w:rsidRPr="00344597" w:rsidRDefault="00F3373B" w:rsidP="00F3373B">
            <w:pPr>
              <w:pStyle w:val="TableParagraph"/>
              <w:numPr>
                <w:ilvl w:val="0"/>
                <w:numId w:val="10"/>
              </w:numPr>
              <w:spacing w:line="229" w:lineRule="exact"/>
              <w:rPr>
                <w:sz w:val="20"/>
              </w:rPr>
            </w:pPr>
            <w:r>
              <w:rPr>
                <w:rFonts w:ascii="Calibri" w:hAnsi="Calibri"/>
              </w:rPr>
              <w:t>A growing economy that provides decent jobs and chances to</w:t>
            </w:r>
            <w:r>
              <w:rPr>
                <w:rFonts w:ascii="Calibri" w:hAnsi="Calibri"/>
                <w:spacing w:val="-10"/>
              </w:rPr>
              <w:t xml:space="preserve"> </w:t>
            </w:r>
            <w:r>
              <w:rPr>
                <w:rFonts w:ascii="Calibri" w:hAnsi="Calibri"/>
              </w:rPr>
              <w:t>progress</w:t>
            </w:r>
          </w:p>
          <w:p w14:paraId="439F20D7" w14:textId="77777777" w:rsidR="00F3373B" w:rsidRDefault="00F3373B" w:rsidP="00F3373B">
            <w:pPr>
              <w:pStyle w:val="TableParagraph"/>
              <w:numPr>
                <w:ilvl w:val="0"/>
                <w:numId w:val="10"/>
              </w:numPr>
              <w:spacing w:line="229" w:lineRule="exact"/>
              <w:rPr>
                <w:sz w:val="20"/>
              </w:rPr>
            </w:pPr>
            <w:r>
              <w:rPr>
                <w:rFonts w:ascii="Calibri" w:hAnsi="Calibri"/>
              </w:rPr>
              <w:t>Delivering regeneration schemes that bring investment and opportunity, both in Rotherham town centre and in our towns and</w:t>
            </w:r>
            <w:r>
              <w:rPr>
                <w:rFonts w:ascii="Calibri" w:hAnsi="Calibri"/>
                <w:spacing w:val="-14"/>
              </w:rPr>
              <w:t xml:space="preserve"> </w:t>
            </w:r>
            <w:r>
              <w:rPr>
                <w:rFonts w:ascii="Calibri" w:hAnsi="Calibri"/>
              </w:rPr>
              <w:t>villages</w:t>
            </w:r>
          </w:p>
        </w:tc>
        <w:tc>
          <w:tcPr>
            <w:tcW w:w="8930" w:type="dxa"/>
            <w:gridSpan w:val="3"/>
            <w:shd w:val="clear" w:color="auto" w:fill="FBE4D5" w:themeFill="accent2" w:themeFillTint="33"/>
          </w:tcPr>
          <w:p w14:paraId="4ABBBFBB" w14:textId="77777777" w:rsidR="00F3373B" w:rsidRDefault="00F3373B" w:rsidP="00001A7C">
            <w:pPr>
              <w:pStyle w:val="TableParagraph"/>
              <w:spacing w:before="3"/>
              <w:ind w:left="0"/>
              <w:rPr>
                <w:b/>
                <w:sz w:val="23"/>
              </w:rPr>
            </w:pPr>
          </w:p>
          <w:p w14:paraId="1FB74ACB" w14:textId="77777777" w:rsidR="00F3373B" w:rsidRPr="00344597" w:rsidRDefault="00F3373B" w:rsidP="00F3373B">
            <w:pPr>
              <w:pStyle w:val="TableParagraph"/>
              <w:numPr>
                <w:ilvl w:val="0"/>
                <w:numId w:val="9"/>
              </w:numPr>
              <w:ind w:right="154"/>
              <w:rPr>
                <w:sz w:val="20"/>
              </w:rPr>
            </w:pPr>
            <w:r>
              <w:rPr>
                <w:rFonts w:ascii="Calibri" w:hAnsi="Calibri"/>
              </w:rPr>
              <w:t>Working with partners and suppliers to create more local jobs, paid at the Real Living Wage or above, and</w:t>
            </w:r>
            <w:r>
              <w:rPr>
                <w:rFonts w:ascii="Calibri" w:hAnsi="Calibri"/>
                <w:spacing w:val="-8"/>
              </w:rPr>
              <w:t xml:space="preserve"> </w:t>
            </w:r>
            <w:proofErr w:type="gramStart"/>
            <w:r>
              <w:rPr>
                <w:rFonts w:ascii="Calibri" w:hAnsi="Calibri"/>
              </w:rPr>
              <w:t>apprenticeships</w:t>
            </w:r>
            <w:proofErr w:type="gramEnd"/>
          </w:p>
          <w:p w14:paraId="55BD09C3" w14:textId="77777777" w:rsidR="00F3373B" w:rsidRDefault="00F3373B" w:rsidP="00F3373B">
            <w:pPr>
              <w:pStyle w:val="TableParagraph"/>
              <w:numPr>
                <w:ilvl w:val="0"/>
                <w:numId w:val="9"/>
              </w:numPr>
              <w:tabs>
                <w:tab w:val="left" w:pos="828"/>
                <w:tab w:val="left" w:pos="829"/>
              </w:tabs>
              <w:ind w:right="859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People having opportunities to learn, develop skills and fulfil their </w:t>
            </w:r>
            <w:proofErr w:type="gramStart"/>
            <w:r>
              <w:rPr>
                <w:rFonts w:ascii="Calibri" w:hAnsi="Calibri"/>
              </w:rPr>
              <w:t>potential</w:t>
            </w:r>
            <w:proofErr w:type="gramEnd"/>
          </w:p>
          <w:p w14:paraId="502C6AA3" w14:textId="77777777" w:rsidR="00F3373B" w:rsidRPr="00344597" w:rsidRDefault="00F3373B" w:rsidP="00F3373B">
            <w:pPr>
              <w:pStyle w:val="TableParagraph"/>
              <w:numPr>
                <w:ilvl w:val="0"/>
                <w:numId w:val="9"/>
              </w:numPr>
              <w:ind w:right="154"/>
              <w:rPr>
                <w:sz w:val="20"/>
              </w:rPr>
            </w:pPr>
            <w:r>
              <w:rPr>
                <w:rFonts w:ascii="Calibri" w:hAnsi="Calibri"/>
              </w:rPr>
              <w:t>Strengthening digital infrastructure and skills which enable access for</w:t>
            </w:r>
            <w:r>
              <w:rPr>
                <w:rFonts w:ascii="Calibri" w:hAnsi="Calibri"/>
                <w:spacing w:val="-21"/>
              </w:rPr>
              <w:t xml:space="preserve"> </w:t>
            </w:r>
            <w:r>
              <w:rPr>
                <w:rFonts w:ascii="Calibri" w:hAnsi="Calibri"/>
              </w:rPr>
              <w:t>all</w:t>
            </w:r>
          </w:p>
        </w:tc>
      </w:tr>
      <w:tr w:rsidR="00F3373B" w14:paraId="0BB5108E" w14:textId="77777777" w:rsidTr="00F3373B">
        <w:trPr>
          <w:trHeight w:val="1379"/>
        </w:trPr>
        <w:tc>
          <w:tcPr>
            <w:tcW w:w="1135" w:type="dxa"/>
          </w:tcPr>
          <w:p w14:paraId="51C980D4" w14:textId="77777777" w:rsidR="00F3373B" w:rsidRDefault="00F3373B" w:rsidP="00001A7C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lastRenderedPageBreak/>
              <w:t>EC04b</w:t>
            </w:r>
          </w:p>
        </w:tc>
        <w:tc>
          <w:tcPr>
            <w:tcW w:w="3969" w:type="dxa"/>
          </w:tcPr>
          <w:p w14:paraId="3A60254D" w14:textId="77777777" w:rsidR="00F3373B" w:rsidRDefault="00F3373B" w:rsidP="00001A7C">
            <w:pPr>
              <w:ind w:left="174"/>
              <w:rPr>
                <w:sz w:val="20"/>
                <w:szCs w:val="20"/>
              </w:rPr>
            </w:pPr>
            <w:r w:rsidRPr="00344597">
              <w:rPr>
                <w:sz w:val="20"/>
                <w:szCs w:val="20"/>
              </w:rPr>
              <w:t>Actions taken in Rotherham to promote progressive and sustainable Economic Development:</w:t>
            </w:r>
          </w:p>
          <w:p w14:paraId="1583BE1C" w14:textId="77777777" w:rsidR="00F3373B" w:rsidRPr="00344597" w:rsidRDefault="00F3373B" w:rsidP="00001A7C">
            <w:pPr>
              <w:ind w:left="174"/>
              <w:rPr>
                <w:sz w:val="20"/>
                <w:szCs w:val="20"/>
              </w:rPr>
            </w:pPr>
          </w:p>
          <w:p w14:paraId="7A21086B" w14:textId="77777777" w:rsidR="00F3373B" w:rsidRPr="00344597" w:rsidRDefault="00F3373B" w:rsidP="00001A7C">
            <w:pPr>
              <w:ind w:left="174"/>
              <w:rPr>
                <w:sz w:val="20"/>
                <w:szCs w:val="20"/>
              </w:rPr>
            </w:pPr>
            <w:r w:rsidRPr="00344597">
              <w:rPr>
                <w:sz w:val="20"/>
                <w:szCs w:val="20"/>
              </w:rPr>
              <w:t>b) Provide advice and support to local businesses to help them recover and grow.</w:t>
            </w:r>
          </w:p>
        </w:tc>
        <w:tc>
          <w:tcPr>
            <w:tcW w:w="1843" w:type="dxa"/>
          </w:tcPr>
          <w:p w14:paraId="604CDF50" w14:textId="77777777" w:rsidR="00F3373B" w:rsidRDefault="00F3373B" w:rsidP="00001A7C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High</w:t>
            </w:r>
          </w:p>
        </w:tc>
        <w:tc>
          <w:tcPr>
            <w:tcW w:w="1984" w:type="dxa"/>
          </w:tcPr>
          <w:p w14:paraId="001FF661" w14:textId="77777777" w:rsidR="00F3373B" w:rsidRDefault="00F3373B" w:rsidP="00001A7C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400</w:t>
            </w:r>
          </w:p>
        </w:tc>
        <w:tc>
          <w:tcPr>
            <w:tcW w:w="1985" w:type="dxa"/>
          </w:tcPr>
          <w:p w14:paraId="653B9372" w14:textId="77777777" w:rsidR="00F3373B" w:rsidRDefault="00F3373B" w:rsidP="00001A7C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500</w:t>
            </w:r>
          </w:p>
        </w:tc>
        <w:tc>
          <w:tcPr>
            <w:tcW w:w="4961" w:type="dxa"/>
          </w:tcPr>
          <w:p w14:paraId="39945CB3" w14:textId="77777777" w:rsidR="00F3373B" w:rsidRPr="00344597" w:rsidRDefault="00F3373B" w:rsidP="00001A7C">
            <w:pPr>
              <w:pStyle w:val="TableParagraph"/>
              <w:ind w:left="109" w:right="154"/>
              <w:rPr>
                <w:sz w:val="20"/>
              </w:rPr>
            </w:pPr>
            <w:r w:rsidRPr="00344597">
              <w:rPr>
                <w:sz w:val="20"/>
              </w:rPr>
              <w:t xml:space="preserve">As at year end </w:t>
            </w:r>
            <w:r>
              <w:rPr>
                <w:sz w:val="20"/>
              </w:rPr>
              <w:t xml:space="preserve">there </w:t>
            </w:r>
            <w:r w:rsidRPr="00344597">
              <w:rPr>
                <w:sz w:val="20"/>
              </w:rPr>
              <w:t xml:space="preserve">was 675, therefore propose this could be increased.  </w:t>
            </w:r>
          </w:p>
        </w:tc>
      </w:tr>
      <w:tr w:rsidR="00F3373B" w14:paraId="23ABBF28" w14:textId="77777777" w:rsidTr="00F3373B">
        <w:trPr>
          <w:trHeight w:val="1379"/>
        </w:trPr>
        <w:tc>
          <w:tcPr>
            <w:tcW w:w="1135" w:type="dxa"/>
          </w:tcPr>
          <w:p w14:paraId="3C48BCAD" w14:textId="77777777" w:rsidR="00F3373B" w:rsidRDefault="00F3373B" w:rsidP="00001A7C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EC05</w:t>
            </w:r>
          </w:p>
        </w:tc>
        <w:tc>
          <w:tcPr>
            <w:tcW w:w="3969" w:type="dxa"/>
          </w:tcPr>
          <w:p w14:paraId="4D7B0F50" w14:textId="77777777" w:rsidR="00F3373B" w:rsidRPr="00344597" w:rsidRDefault="00F3373B" w:rsidP="00001A7C">
            <w:pPr>
              <w:ind w:left="174"/>
              <w:rPr>
                <w:sz w:val="20"/>
                <w:szCs w:val="20"/>
              </w:rPr>
            </w:pPr>
            <w:r w:rsidRPr="00344597">
              <w:rPr>
                <w:sz w:val="20"/>
                <w:szCs w:val="20"/>
              </w:rPr>
              <w:t xml:space="preserve">Number of engagements with libraries’ services which help people learn, acquire new </w:t>
            </w:r>
            <w:proofErr w:type="gramStart"/>
            <w:r w:rsidRPr="00344597">
              <w:rPr>
                <w:sz w:val="20"/>
                <w:szCs w:val="20"/>
              </w:rPr>
              <w:t>skills</w:t>
            </w:r>
            <w:proofErr w:type="gramEnd"/>
            <w:r w:rsidRPr="00344597">
              <w:rPr>
                <w:sz w:val="20"/>
                <w:szCs w:val="20"/>
              </w:rPr>
              <w:t xml:space="preserve"> or get a job</w:t>
            </w:r>
          </w:p>
        </w:tc>
        <w:tc>
          <w:tcPr>
            <w:tcW w:w="1843" w:type="dxa"/>
          </w:tcPr>
          <w:p w14:paraId="0507616F" w14:textId="77777777" w:rsidR="00F3373B" w:rsidRDefault="00F3373B" w:rsidP="00001A7C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High </w:t>
            </w:r>
          </w:p>
        </w:tc>
        <w:tc>
          <w:tcPr>
            <w:tcW w:w="1984" w:type="dxa"/>
          </w:tcPr>
          <w:p w14:paraId="07318BFC" w14:textId="77777777" w:rsidR="00F3373B" w:rsidRDefault="00F3373B" w:rsidP="00001A7C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80,000</w:t>
            </w:r>
          </w:p>
        </w:tc>
        <w:tc>
          <w:tcPr>
            <w:tcW w:w="1985" w:type="dxa"/>
          </w:tcPr>
          <w:p w14:paraId="12D3FFEB" w14:textId="58CC22F6" w:rsidR="00F3373B" w:rsidRPr="002F1DDB" w:rsidRDefault="00F3373B" w:rsidP="00001A7C">
            <w:pPr>
              <w:pStyle w:val="TableParagraph"/>
              <w:spacing w:line="229" w:lineRule="exact"/>
              <w:rPr>
                <w:sz w:val="20"/>
              </w:rPr>
            </w:pPr>
            <w:r w:rsidRPr="002F1DDB">
              <w:rPr>
                <w:sz w:val="20"/>
              </w:rPr>
              <w:t xml:space="preserve">100,000 </w:t>
            </w:r>
          </w:p>
        </w:tc>
        <w:tc>
          <w:tcPr>
            <w:tcW w:w="4961" w:type="dxa"/>
          </w:tcPr>
          <w:p w14:paraId="6A0D84C7" w14:textId="77777777" w:rsidR="00F3373B" w:rsidRPr="002F1DDB" w:rsidRDefault="00F3373B" w:rsidP="00001A7C">
            <w:pPr>
              <w:pStyle w:val="TableParagraph"/>
              <w:ind w:left="109" w:right="154"/>
              <w:rPr>
                <w:sz w:val="20"/>
              </w:rPr>
            </w:pPr>
            <w:r w:rsidRPr="002F1DDB">
              <w:rPr>
                <w:sz w:val="20"/>
              </w:rPr>
              <w:t xml:space="preserve">Positive performance during 2023-24. Next year the library facilities will </w:t>
            </w:r>
            <w:proofErr w:type="gramStart"/>
            <w:r w:rsidRPr="002F1DDB">
              <w:rPr>
                <w:sz w:val="20"/>
              </w:rPr>
              <w:t>change</w:t>
            </w:r>
            <w:proofErr w:type="gramEnd"/>
            <w:r w:rsidRPr="002F1DDB">
              <w:rPr>
                <w:sz w:val="20"/>
              </w:rPr>
              <w:t xml:space="preserve"> and it is likely that Wath Library will be operating via a temporary structure for part of the year. This has been considered with the target set for next year.</w:t>
            </w:r>
          </w:p>
        </w:tc>
      </w:tr>
      <w:tr w:rsidR="00F3373B" w14:paraId="060BA04F" w14:textId="77777777" w:rsidTr="00F3373B">
        <w:trPr>
          <w:trHeight w:val="312"/>
        </w:trPr>
        <w:tc>
          <w:tcPr>
            <w:tcW w:w="15877" w:type="dxa"/>
            <w:gridSpan w:val="6"/>
            <w:shd w:val="clear" w:color="auto" w:fill="92D050"/>
          </w:tcPr>
          <w:p w14:paraId="0ED1147C" w14:textId="77777777" w:rsidR="00F3373B" w:rsidRPr="00344597" w:rsidRDefault="00F3373B" w:rsidP="00001A7C">
            <w:pPr>
              <w:pStyle w:val="TableParagraph"/>
              <w:ind w:left="109" w:right="154"/>
              <w:rPr>
                <w:sz w:val="20"/>
              </w:rPr>
            </w:pPr>
            <w:r>
              <w:rPr>
                <w:rFonts w:ascii="Calibri"/>
                <w:b/>
                <w:sz w:val="24"/>
              </w:rPr>
              <w:t>A Cleaner, Greener Local Environment</w:t>
            </w:r>
          </w:p>
        </w:tc>
      </w:tr>
      <w:tr w:rsidR="00F3373B" w14:paraId="78B3ABDB" w14:textId="77777777" w:rsidTr="00F3373B">
        <w:trPr>
          <w:trHeight w:val="1379"/>
        </w:trPr>
        <w:tc>
          <w:tcPr>
            <w:tcW w:w="6947" w:type="dxa"/>
            <w:gridSpan w:val="3"/>
            <w:shd w:val="clear" w:color="auto" w:fill="EDEDED" w:themeFill="accent3" w:themeFillTint="33"/>
          </w:tcPr>
          <w:p w14:paraId="0711A037" w14:textId="77777777" w:rsidR="00F3373B" w:rsidRDefault="00F3373B" w:rsidP="00001A7C">
            <w:pPr>
              <w:pStyle w:val="TableParagraph"/>
              <w:spacing w:line="292" w:lineRule="exact"/>
              <w:ind w:left="107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Outcomes</w:t>
            </w:r>
          </w:p>
          <w:p w14:paraId="4A3C0338" w14:textId="77777777" w:rsidR="00F3373B" w:rsidRDefault="00F3373B" w:rsidP="00001A7C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  <w:tab w:val="left" w:pos="828"/>
              </w:tabs>
              <w:spacing w:line="300" w:lineRule="exact"/>
              <w:ind w:hanging="361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Increasing satisfaction with the cleanliness of the</w:t>
            </w:r>
            <w:r>
              <w:rPr>
                <w:rFonts w:ascii="Calibri" w:hAnsi="Calibri"/>
                <w:spacing w:val="-13"/>
              </w:rPr>
              <w:t xml:space="preserve"> </w:t>
            </w:r>
            <w:r>
              <w:rPr>
                <w:rFonts w:ascii="Calibri" w:hAnsi="Calibri"/>
              </w:rPr>
              <w:t>borough</w:t>
            </w:r>
          </w:p>
          <w:p w14:paraId="7B545FBF" w14:textId="77777777" w:rsidR="00F3373B" w:rsidRPr="005A598F" w:rsidRDefault="00F3373B" w:rsidP="00001A7C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  <w:tab w:val="left" w:pos="828"/>
              </w:tabs>
              <w:spacing w:line="300" w:lineRule="exact"/>
              <w:ind w:hanging="361"/>
              <w:rPr>
                <w:rFonts w:ascii="Calibri" w:hAnsi="Calibri"/>
              </w:rPr>
            </w:pPr>
            <w:r w:rsidRPr="005A598F">
              <w:rPr>
                <w:rFonts w:ascii="Calibri" w:hAnsi="Calibri"/>
              </w:rPr>
              <w:t>Creating better transport systems for future</w:t>
            </w:r>
            <w:r w:rsidRPr="005A598F">
              <w:rPr>
                <w:rFonts w:ascii="Calibri" w:hAnsi="Calibri"/>
                <w:spacing w:val="-9"/>
              </w:rPr>
              <w:t xml:space="preserve"> </w:t>
            </w:r>
            <w:r w:rsidRPr="005A598F">
              <w:rPr>
                <w:rFonts w:ascii="Calibri" w:hAnsi="Calibri"/>
              </w:rPr>
              <w:t>generations</w:t>
            </w:r>
          </w:p>
        </w:tc>
        <w:tc>
          <w:tcPr>
            <w:tcW w:w="8930" w:type="dxa"/>
            <w:gridSpan w:val="3"/>
            <w:shd w:val="clear" w:color="auto" w:fill="EDEDED" w:themeFill="accent3" w:themeFillTint="33"/>
          </w:tcPr>
          <w:p w14:paraId="6EEA0B82" w14:textId="77777777" w:rsidR="00F3373B" w:rsidRDefault="00F3373B" w:rsidP="00001A7C">
            <w:pPr>
              <w:pStyle w:val="TableParagraph"/>
              <w:ind w:left="109" w:right="154"/>
              <w:rPr>
                <w:sz w:val="20"/>
              </w:rPr>
            </w:pPr>
          </w:p>
          <w:p w14:paraId="23C87470" w14:textId="77777777" w:rsidR="00F3373B" w:rsidRDefault="00F3373B" w:rsidP="00001A7C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  <w:tab w:val="left" w:pos="829"/>
              </w:tabs>
              <w:spacing w:before="1" w:line="237" w:lineRule="auto"/>
              <w:ind w:right="837" w:hanging="360"/>
              <w:rPr>
                <w:rFonts w:ascii="Symbol" w:hAnsi="Symbol"/>
              </w:rPr>
            </w:pPr>
            <w:r>
              <w:rPr>
                <w:rFonts w:ascii="Calibri" w:hAnsi="Calibri"/>
              </w:rPr>
              <w:t>Reducing the risk and impact of flooding and other environmental emergencies</w:t>
            </w:r>
          </w:p>
          <w:p w14:paraId="5C27AA0D" w14:textId="77777777" w:rsidR="00F3373B" w:rsidRPr="005A598F" w:rsidRDefault="00F3373B" w:rsidP="00001A7C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  <w:tab w:val="left" w:pos="829"/>
              </w:tabs>
              <w:spacing w:before="1" w:line="237" w:lineRule="auto"/>
              <w:ind w:right="837" w:hanging="360"/>
              <w:rPr>
                <w:rFonts w:ascii="Symbol" w:hAnsi="Symbol"/>
              </w:rPr>
            </w:pPr>
            <w:r w:rsidRPr="005A598F">
              <w:rPr>
                <w:rFonts w:ascii="Calibri" w:hAnsi="Calibri"/>
              </w:rPr>
              <w:t>Contributing to reducing carbon emissions across the</w:t>
            </w:r>
            <w:r w:rsidRPr="005A598F">
              <w:rPr>
                <w:rFonts w:ascii="Calibri" w:hAnsi="Calibri"/>
                <w:spacing w:val="-11"/>
              </w:rPr>
              <w:t xml:space="preserve"> </w:t>
            </w:r>
            <w:r w:rsidRPr="005A598F">
              <w:rPr>
                <w:rFonts w:ascii="Calibri" w:hAnsi="Calibri"/>
              </w:rPr>
              <w:t>borough</w:t>
            </w:r>
          </w:p>
        </w:tc>
      </w:tr>
      <w:tr w:rsidR="00F3373B" w14:paraId="0848A819" w14:textId="77777777" w:rsidTr="00F3373B">
        <w:trPr>
          <w:trHeight w:val="1379"/>
        </w:trPr>
        <w:tc>
          <w:tcPr>
            <w:tcW w:w="1135" w:type="dxa"/>
          </w:tcPr>
          <w:p w14:paraId="1FD4E96C" w14:textId="77777777" w:rsidR="00F3373B" w:rsidRDefault="00F3373B" w:rsidP="00001A7C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 w:rsidRPr="005A598F">
              <w:rPr>
                <w:sz w:val="20"/>
              </w:rPr>
              <w:t>EN01a</w:t>
            </w:r>
          </w:p>
        </w:tc>
        <w:tc>
          <w:tcPr>
            <w:tcW w:w="3969" w:type="dxa"/>
          </w:tcPr>
          <w:p w14:paraId="460B8743" w14:textId="77777777" w:rsidR="00F3373B" w:rsidRPr="005A598F" w:rsidRDefault="00F3373B" w:rsidP="00001A7C">
            <w:pPr>
              <w:ind w:left="174"/>
              <w:rPr>
                <w:sz w:val="20"/>
                <w:szCs w:val="20"/>
              </w:rPr>
            </w:pPr>
            <w:r w:rsidRPr="005A598F">
              <w:rPr>
                <w:sz w:val="20"/>
                <w:szCs w:val="20"/>
              </w:rPr>
              <w:t>Fly tipping and environmental crime:</w:t>
            </w:r>
          </w:p>
          <w:p w14:paraId="4350E391" w14:textId="77777777" w:rsidR="00F3373B" w:rsidRPr="00344597" w:rsidRDefault="00F3373B" w:rsidP="00001A7C">
            <w:pPr>
              <w:ind w:left="174"/>
              <w:rPr>
                <w:sz w:val="20"/>
                <w:szCs w:val="20"/>
              </w:rPr>
            </w:pPr>
            <w:r w:rsidRPr="005A598F">
              <w:rPr>
                <w:sz w:val="20"/>
                <w:szCs w:val="20"/>
              </w:rPr>
              <w:t>a) Effective enforcement actions; fly-tipping</w:t>
            </w:r>
          </w:p>
        </w:tc>
        <w:tc>
          <w:tcPr>
            <w:tcW w:w="1843" w:type="dxa"/>
          </w:tcPr>
          <w:p w14:paraId="1136FD6E" w14:textId="77777777" w:rsidR="00F3373B" w:rsidRDefault="00F3373B" w:rsidP="00001A7C">
            <w:pPr>
              <w:pStyle w:val="TableParagraph"/>
              <w:spacing w:line="229" w:lineRule="exact"/>
              <w:ind w:left="37"/>
              <w:rPr>
                <w:sz w:val="20"/>
              </w:rPr>
            </w:pPr>
            <w:r>
              <w:rPr>
                <w:sz w:val="20"/>
              </w:rPr>
              <w:t xml:space="preserve">High </w:t>
            </w:r>
          </w:p>
        </w:tc>
        <w:tc>
          <w:tcPr>
            <w:tcW w:w="1984" w:type="dxa"/>
          </w:tcPr>
          <w:p w14:paraId="05A530F1" w14:textId="77777777" w:rsidR="00F3373B" w:rsidRPr="005A598F" w:rsidRDefault="00F3373B" w:rsidP="00001A7C">
            <w:pPr>
              <w:pStyle w:val="TableParagraph"/>
              <w:spacing w:line="229" w:lineRule="exact"/>
              <w:rPr>
                <w:sz w:val="20"/>
              </w:rPr>
            </w:pPr>
            <w:r w:rsidRPr="005A598F">
              <w:rPr>
                <w:sz w:val="20"/>
              </w:rPr>
              <w:t>60</w:t>
            </w:r>
          </w:p>
        </w:tc>
        <w:tc>
          <w:tcPr>
            <w:tcW w:w="1985" w:type="dxa"/>
          </w:tcPr>
          <w:p w14:paraId="2D534812" w14:textId="77777777" w:rsidR="00F3373B" w:rsidRPr="005A598F" w:rsidRDefault="00F3373B" w:rsidP="00001A7C">
            <w:pPr>
              <w:pStyle w:val="TableParagraph"/>
              <w:spacing w:line="229" w:lineRule="exact"/>
              <w:rPr>
                <w:sz w:val="20"/>
              </w:rPr>
            </w:pPr>
            <w:r w:rsidRPr="005A598F">
              <w:rPr>
                <w:sz w:val="20"/>
              </w:rPr>
              <w:t>60</w:t>
            </w:r>
          </w:p>
        </w:tc>
        <w:tc>
          <w:tcPr>
            <w:tcW w:w="4961" w:type="dxa"/>
          </w:tcPr>
          <w:p w14:paraId="6F00AF0E" w14:textId="77777777" w:rsidR="00F3373B" w:rsidRPr="00344597" w:rsidRDefault="00F3373B" w:rsidP="00001A7C">
            <w:pPr>
              <w:pStyle w:val="TableParagraph"/>
              <w:ind w:left="109" w:right="154"/>
              <w:rPr>
                <w:sz w:val="20"/>
              </w:rPr>
            </w:pPr>
            <w:r>
              <w:rPr>
                <w:sz w:val="20"/>
              </w:rPr>
              <w:t>The target for this measure remains unchanged,</w:t>
            </w:r>
            <w:r w:rsidRPr="005A598F">
              <w:rPr>
                <w:sz w:val="20"/>
              </w:rPr>
              <w:t xml:space="preserve"> however the proposal is</w:t>
            </w:r>
            <w:r>
              <w:rPr>
                <w:sz w:val="20"/>
              </w:rPr>
              <w:t xml:space="preserve"> to change the definition of this measure</w:t>
            </w:r>
            <w:r w:rsidRPr="005A598F">
              <w:rPr>
                <w:sz w:val="20"/>
              </w:rPr>
              <w:t xml:space="preserve"> to widen the scope </w:t>
            </w:r>
            <w:r>
              <w:rPr>
                <w:sz w:val="20"/>
              </w:rPr>
              <w:t>so that this includes</w:t>
            </w:r>
            <w:r w:rsidRPr="005A598F">
              <w:rPr>
                <w:sz w:val="20"/>
              </w:rPr>
              <w:t xml:space="preserve"> all fly-tipping related enforcements</w:t>
            </w:r>
            <w:r>
              <w:rPr>
                <w:sz w:val="20"/>
              </w:rPr>
              <w:t>.  This will</w:t>
            </w:r>
            <w:r w:rsidRPr="005A598F">
              <w:rPr>
                <w:sz w:val="20"/>
              </w:rPr>
              <w:t xml:space="preserve"> help to better report all activity the Council is taking to reduce fly tipping. </w:t>
            </w:r>
            <w:r>
              <w:rPr>
                <w:sz w:val="20"/>
              </w:rPr>
              <w:t xml:space="preserve">These </w:t>
            </w:r>
            <w:r w:rsidRPr="005A598F">
              <w:rPr>
                <w:sz w:val="20"/>
              </w:rPr>
              <w:t xml:space="preserve">additions will not dramatically change the numbers involved. The proposed additional categories would have added 13 enforcement actions </w:t>
            </w:r>
            <w:r>
              <w:rPr>
                <w:sz w:val="20"/>
              </w:rPr>
              <w:t xml:space="preserve">to the 2023-24 figures.  </w:t>
            </w:r>
          </w:p>
        </w:tc>
      </w:tr>
      <w:tr w:rsidR="00F3373B" w14:paraId="072527BB" w14:textId="77777777" w:rsidTr="00F3373B">
        <w:trPr>
          <w:trHeight w:val="1379"/>
        </w:trPr>
        <w:tc>
          <w:tcPr>
            <w:tcW w:w="1135" w:type="dxa"/>
          </w:tcPr>
          <w:p w14:paraId="66656BDF" w14:textId="77777777" w:rsidR="00F3373B" w:rsidRPr="005A598F" w:rsidRDefault="00F3373B" w:rsidP="00001A7C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EN05a</w:t>
            </w:r>
          </w:p>
        </w:tc>
        <w:tc>
          <w:tcPr>
            <w:tcW w:w="3969" w:type="dxa"/>
          </w:tcPr>
          <w:p w14:paraId="5BE82AF8" w14:textId="77777777" w:rsidR="00F3373B" w:rsidRPr="005A598F" w:rsidRDefault="00F3373B" w:rsidP="00001A7C">
            <w:pPr>
              <w:ind w:left="174"/>
              <w:rPr>
                <w:sz w:val="20"/>
                <w:szCs w:val="20"/>
              </w:rPr>
            </w:pPr>
            <w:r w:rsidRPr="005A598F">
              <w:rPr>
                <w:sz w:val="20"/>
                <w:szCs w:val="20"/>
              </w:rPr>
              <w:t>Number of trees planted by the Council</w:t>
            </w:r>
            <w:r>
              <w:rPr>
                <w:sz w:val="20"/>
                <w:szCs w:val="20"/>
              </w:rPr>
              <w:t>:</w:t>
            </w:r>
          </w:p>
          <w:p w14:paraId="74C54794" w14:textId="00679047" w:rsidR="00F3373B" w:rsidRPr="00E37E02" w:rsidRDefault="00F3373B" w:rsidP="00E37E02">
            <w:pPr>
              <w:ind w:left="174"/>
              <w:rPr>
                <w:sz w:val="20"/>
              </w:rPr>
            </w:pPr>
            <w:r w:rsidRPr="005A598F">
              <w:rPr>
                <w:sz w:val="20"/>
                <w:szCs w:val="20"/>
              </w:rPr>
              <w:t xml:space="preserve">a) </w:t>
            </w:r>
            <w:r w:rsidRPr="005A598F">
              <w:rPr>
                <w:strike/>
                <w:sz w:val="20"/>
                <w:szCs w:val="20"/>
              </w:rPr>
              <w:t>Number of Hectares</w:t>
            </w:r>
            <w:r>
              <w:rPr>
                <w:strike/>
                <w:sz w:val="20"/>
                <w:szCs w:val="20"/>
              </w:rPr>
              <w:t xml:space="preserve"> </w:t>
            </w:r>
            <w:r>
              <w:rPr>
                <w:sz w:val="20"/>
              </w:rPr>
              <w:t>N</w:t>
            </w:r>
            <w:r w:rsidRPr="005A598F">
              <w:rPr>
                <w:sz w:val="20"/>
              </w:rPr>
              <w:t xml:space="preserve">umber of </w:t>
            </w:r>
            <w:r w:rsidR="00E37E02">
              <w:rPr>
                <w:sz w:val="20"/>
              </w:rPr>
              <w:t xml:space="preserve">hectares </w:t>
            </w:r>
            <w:r w:rsidR="008764AD">
              <w:rPr>
                <w:sz w:val="20"/>
              </w:rPr>
              <w:t>of land</w:t>
            </w:r>
            <w:r w:rsidR="0062538E">
              <w:rPr>
                <w:sz w:val="20"/>
              </w:rPr>
              <w:t xml:space="preserve"> for</w:t>
            </w:r>
            <w:r w:rsidR="008764AD">
              <w:rPr>
                <w:sz w:val="20"/>
              </w:rPr>
              <w:t xml:space="preserve"> </w:t>
            </w:r>
            <w:r w:rsidRPr="005A598F">
              <w:rPr>
                <w:sz w:val="20"/>
              </w:rPr>
              <w:t>woodland creation</w:t>
            </w:r>
            <w:r w:rsidR="003037E5">
              <w:rPr>
                <w:sz w:val="20"/>
              </w:rPr>
              <w:t xml:space="preserve"> </w:t>
            </w:r>
          </w:p>
        </w:tc>
        <w:tc>
          <w:tcPr>
            <w:tcW w:w="1843" w:type="dxa"/>
          </w:tcPr>
          <w:p w14:paraId="4F57F0A6" w14:textId="77777777" w:rsidR="00F3373B" w:rsidRDefault="00F3373B" w:rsidP="00001A7C">
            <w:pPr>
              <w:pStyle w:val="TableParagraph"/>
              <w:spacing w:line="229" w:lineRule="exact"/>
              <w:ind w:left="37"/>
              <w:rPr>
                <w:sz w:val="20"/>
              </w:rPr>
            </w:pPr>
            <w:r>
              <w:rPr>
                <w:sz w:val="20"/>
              </w:rPr>
              <w:t xml:space="preserve">High </w:t>
            </w:r>
          </w:p>
        </w:tc>
        <w:tc>
          <w:tcPr>
            <w:tcW w:w="1984" w:type="dxa"/>
          </w:tcPr>
          <w:p w14:paraId="7BB8021E" w14:textId="77777777" w:rsidR="00F3373B" w:rsidRPr="005A598F" w:rsidRDefault="00F3373B" w:rsidP="00001A7C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985" w:type="dxa"/>
          </w:tcPr>
          <w:p w14:paraId="5D3635BA" w14:textId="77777777" w:rsidR="00F3373B" w:rsidRPr="005A598F" w:rsidRDefault="00F3373B" w:rsidP="00001A7C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4961" w:type="dxa"/>
          </w:tcPr>
          <w:p w14:paraId="03B81217" w14:textId="720C9498" w:rsidR="00F3373B" w:rsidRPr="003037E5" w:rsidRDefault="00F3373B" w:rsidP="00001A7C">
            <w:pPr>
              <w:pStyle w:val="TableParagraph"/>
              <w:ind w:left="109" w:right="154"/>
              <w:rPr>
                <w:sz w:val="20"/>
              </w:rPr>
            </w:pPr>
            <w:r w:rsidRPr="003037E5">
              <w:rPr>
                <w:sz w:val="20"/>
              </w:rPr>
              <w:t xml:space="preserve">The target for this measure remains unchanged, however, the measure description has been changed to the number of </w:t>
            </w:r>
            <w:r w:rsidR="00B514E4">
              <w:rPr>
                <w:sz w:val="20"/>
              </w:rPr>
              <w:t xml:space="preserve">hectares of land for </w:t>
            </w:r>
            <w:r w:rsidRPr="003037E5">
              <w:rPr>
                <w:sz w:val="20"/>
              </w:rPr>
              <w:t xml:space="preserve">woodland creation.  </w:t>
            </w:r>
          </w:p>
          <w:p w14:paraId="479AB6F3" w14:textId="77777777" w:rsidR="00F3373B" w:rsidRPr="003037E5" w:rsidRDefault="00F3373B" w:rsidP="00001A7C">
            <w:pPr>
              <w:pStyle w:val="TableParagraph"/>
              <w:ind w:left="109" w:right="154"/>
              <w:rPr>
                <w:sz w:val="20"/>
              </w:rPr>
            </w:pPr>
          </w:p>
          <w:p w14:paraId="156963C5" w14:textId="7C863458" w:rsidR="00F3373B" w:rsidRPr="005A598F" w:rsidRDefault="00F3373B" w:rsidP="00001A7C">
            <w:pPr>
              <w:pStyle w:val="TableParagraph"/>
              <w:ind w:left="109" w:right="154"/>
              <w:rPr>
                <w:color w:val="FF0000"/>
                <w:sz w:val="20"/>
              </w:rPr>
            </w:pPr>
            <w:r w:rsidRPr="003037E5">
              <w:rPr>
                <w:sz w:val="20"/>
              </w:rPr>
              <w:t>This target is linked to a tree strategy that commits to the planting of 50</w:t>
            </w:r>
            <w:r w:rsidR="00B514E4">
              <w:rPr>
                <w:sz w:val="20"/>
              </w:rPr>
              <w:t xml:space="preserve"> hectares</w:t>
            </w:r>
            <w:r w:rsidRPr="003037E5">
              <w:rPr>
                <w:sz w:val="20"/>
              </w:rPr>
              <w:t xml:space="preserve"> over 10 years. This has been expressed as an annual target of 5 </w:t>
            </w:r>
            <w:r w:rsidR="00B514E4">
              <w:rPr>
                <w:sz w:val="20"/>
              </w:rPr>
              <w:t>hectares</w:t>
            </w:r>
            <w:r w:rsidRPr="003037E5">
              <w:rPr>
                <w:sz w:val="20"/>
              </w:rPr>
              <w:t xml:space="preserve"> per year for 10 years.</w:t>
            </w:r>
          </w:p>
        </w:tc>
      </w:tr>
      <w:tr w:rsidR="00F3373B" w14:paraId="252C7AA6" w14:textId="77777777" w:rsidTr="00F3373B">
        <w:trPr>
          <w:trHeight w:val="1379"/>
        </w:trPr>
        <w:tc>
          <w:tcPr>
            <w:tcW w:w="15877" w:type="dxa"/>
            <w:gridSpan w:val="6"/>
            <w:shd w:val="clear" w:color="auto" w:fill="222A35" w:themeFill="text2" w:themeFillShade="80"/>
          </w:tcPr>
          <w:p w14:paraId="3771D606" w14:textId="77777777" w:rsidR="00F3373B" w:rsidRDefault="00F3373B" w:rsidP="00001A7C">
            <w:pPr>
              <w:pStyle w:val="TableParagraph"/>
              <w:ind w:left="109" w:right="154"/>
              <w:rPr>
                <w:sz w:val="20"/>
              </w:rPr>
            </w:pPr>
            <w:r>
              <w:rPr>
                <w:rFonts w:ascii="Calibri"/>
                <w:b/>
                <w:color w:val="FFFFFF"/>
                <w:sz w:val="24"/>
              </w:rPr>
              <w:lastRenderedPageBreak/>
              <w:t>One Council</w:t>
            </w:r>
          </w:p>
        </w:tc>
      </w:tr>
      <w:tr w:rsidR="00F3373B" w14:paraId="3F3B8926" w14:textId="77777777" w:rsidTr="00F3373B">
        <w:trPr>
          <w:trHeight w:val="1379"/>
        </w:trPr>
        <w:tc>
          <w:tcPr>
            <w:tcW w:w="6947" w:type="dxa"/>
            <w:gridSpan w:val="3"/>
            <w:shd w:val="clear" w:color="auto" w:fill="D9D9D9" w:themeFill="background1" w:themeFillShade="D9"/>
          </w:tcPr>
          <w:p w14:paraId="3669FD4F" w14:textId="77777777" w:rsidR="00F3373B" w:rsidRDefault="00F3373B" w:rsidP="00001A7C">
            <w:pPr>
              <w:pStyle w:val="TableParagraph"/>
              <w:spacing w:line="292" w:lineRule="exact"/>
              <w:ind w:left="107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Outcomes</w:t>
            </w:r>
          </w:p>
          <w:p w14:paraId="1B2792B9" w14:textId="77777777" w:rsidR="00F3373B" w:rsidRDefault="00F3373B" w:rsidP="00001A7C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  <w:tab w:val="left" w:pos="828"/>
              </w:tabs>
              <w:ind w:right="251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Effective customer services – residents know we mean what we say, are kept informed and can access the services they need in the way that suits </w:t>
            </w:r>
            <w:proofErr w:type="gramStart"/>
            <w:r>
              <w:rPr>
                <w:rFonts w:ascii="Calibri" w:hAnsi="Calibri"/>
              </w:rPr>
              <w:t>them</w:t>
            </w:r>
            <w:proofErr w:type="gramEnd"/>
          </w:p>
          <w:p w14:paraId="58348092" w14:textId="77777777" w:rsidR="00F3373B" w:rsidRPr="00DB4EAE" w:rsidRDefault="00F3373B" w:rsidP="00001A7C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  <w:tab w:val="left" w:pos="828"/>
              </w:tabs>
              <w:ind w:right="251"/>
              <w:rPr>
                <w:rFonts w:ascii="Calibri" w:hAnsi="Calibri"/>
              </w:rPr>
            </w:pPr>
            <w:r w:rsidRPr="00DB4EAE">
              <w:rPr>
                <w:rFonts w:ascii="Calibri" w:hAnsi="Calibri"/>
              </w:rPr>
              <w:t>Engaged, diverse and skilled workforce who feel empowered to adopt new ways of working to meet the needs of all</w:t>
            </w:r>
            <w:r w:rsidRPr="00DB4EAE">
              <w:rPr>
                <w:rFonts w:ascii="Calibri" w:hAnsi="Calibri"/>
                <w:spacing w:val="-11"/>
              </w:rPr>
              <w:t xml:space="preserve"> </w:t>
            </w:r>
            <w:r w:rsidRPr="00DB4EAE">
              <w:rPr>
                <w:rFonts w:ascii="Calibri" w:hAnsi="Calibri"/>
              </w:rPr>
              <w:t>customers</w:t>
            </w:r>
          </w:p>
        </w:tc>
        <w:tc>
          <w:tcPr>
            <w:tcW w:w="8930" w:type="dxa"/>
            <w:gridSpan w:val="3"/>
            <w:shd w:val="clear" w:color="auto" w:fill="D9D9D9" w:themeFill="background1" w:themeFillShade="D9"/>
          </w:tcPr>
          <w:p w14:paraId="7135582C" w14:textId="77777777" w:rsidR="00F3373B" w:rsidRDefault="00F3373B" w:rsidP="00001A7C">
            <w:pPr>
              <w:pStyle w:val="TableParagraph"/>
              <w:spacing w:before="3"/>
              <w:ind w:left="0"/>
              <w:rPr>
                <w:b/>
                <w:sz w:val="23"/>
              </w:rPr>
            </w:pPr>
          </w:p>
          <w:p w14:paraId="268488D8" w14:textId="77777777" w:rsidR="00F3373B" w:rsidRDefault="00F3373B" w:rsidP="00001A7C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  <w:tab w:val="left" w:pos="829"/>
              </w:tabs>
              <w:spacing w:line="280" w:lineRule="exact"/>
              <w:rPr>
                <w:rFonts w:ascii="Symbol" w:hAnsi="Symbol"/>
              </w:rPr>
            </w:pPr>
            <w:r>
              <w:rPr>
                <w:rFonts w:ascii="Calibri" w:hAnsi="Calibri"/>
              </w:rPr>
              <w:t>Sound financial management and governance</w:t>
            </w:r>
            <w:r>
              <w:rPr>
                <w:rFonts w:ascii="Calibri" w:hAnsi="Calibri"/>
                <w:spacing w:val="-6"/>
              </w:rPr>
              <w:t xml:space="preserve"> </w:t>
            </w:r>
            <w:r>
              <w:rPr>
                <w:rFonts w:ascii="Calibri" w:hAnsi="Calibri"/>
              </w:rPr>
              <w:t>arrangements</w:t>
            </w:r>
          </w:p>
          <w:p w14:paraId="45829FDC" w14:textId="77777777" w:rsidR="00F3373B" w:rsidRPr="00DB4EAE" w:rsidRDefault="00F3373B" w:rsidP="00001A7C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  <w:tab w:val="left" w:pos="829"/>
              </w:tabs>
              <w:spacing w:line="280" w:lineRule="exact"/>
              <w:rPr>
                <w:rFonts w:ascii="Symbol" w:hAnsi="Symbol"/>
              </w:rPr>
            </w:pPr>
            <w:r w:rsidRPr="00DB4EAE">
              <w:rPr>
                <w:rFonts w:ascii="Calibri" w:hAnsi="Calibri"/>
              </w:rPr>
              <w:t>Effective leadership, working with our partners to achieve better outcomes across the whole</w:t>
            </w:r>
            <w:r w:rsidRPr="00DB4EAE">
              <w:rPr>
                <w:rFonts w:ascii="Calibri" w:hAnsi="Calibri"/>
                <w:spacing w:val="-5"/>
              </w:rPr>
              <w:t xml:space="preserve"> </w:t>
            </w:r>
            <w:r w:rsidRPr="00DB4EAE">
              <w:rPr>
                <w:rFonts w:ascii="Calibri" w:hAnsi="Calibri"/>
              </w:rPr>
              <w:t>borough</w:t>
            </w:r>
          </w:p>
        </w:tc>
      </w:tr>
      <w:tr w:rsidR="00F3373B" w14:paraId="4B902646" w14:textId="77777777" w:rsidTr="00F3373B">
        <w:trPr>
          <w:trHeight w:val="1379"/>
        </w:trPr>
        <w:tc>
          <w:tcPr>
            <w:tcW w:w="1135" w:type="dxa"/>
          </w:tcPr>
          <w:p w14:paraId="6A09428E" w14:textId="3FC19FD6" w:rsidR="00F3373B" w:rsidRDefault="00DB281D" w:rsidP="00001A7C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OC03</w:t>
            </w:r>
          </w:p>
        </w:tc>
        <w:tc>
          <w:tcPr>
            <w:tcW w:w="3969" w:type="dxa"/>
          </w:tcPr>
          <w:p w14:paraId="004B33EE" w14:textId="4923CBC4" w:rsidR="00F3373B" w:rsidRPr="005A598F" w:rsidRDefault="00DB281D" w:rsidP="00001A7C">
            <w:pPr>
              <w:ind w:left="174"/>
              <w:rPr>
                <w:sz w:val="20"/>
                <w:szCs w:val="20"/>
              </w:rPr>
            </w:pPr>
            <w:r w:rsidRPr="00DB281D">
              <w:rPr>
                <w:sz w:val="20"/>
                <w:szCs w:val="20"/>
              </w:rPr>
              <w:t>Average customer wait time to corporate contact centre (in minutes)</w:t>
            </w:r>
          </w:p>
        </w:tc>
        <w:tc>
          <w:tcPr>
            <w:tcW w:w="1843" w:type="dxa"/>
          </w:tcPr>
          <w:p w14:paraId="6013EBFA" w14:textId="54109354" w:rsidR="00F3373B" w:rsidRDefault="00DB281D" w:rsidP="00001A7C">
            <w:pPr>
              <w:pStyle w:val="TableParagraph"/>
              <w:spacing w:line="229" w:lineRule="exact"/>
              <w:ind w:left="37"/>
              <w:rPr>
                <w:sz w:val="20"/>
              </w:rPr>
            </w:pPr>
            <w:r>
              <w:rPr>
                <w:sz w:val="20"/>
              </w:rPr>
              <w:t xml:space="preserve">Low </w:t>
            </w:r>
          </w:p>
        </w:tc>
        <w:tc>
          <w:tcPr>
            <w:tcW w:w="1984" w:type="dxa"/>
          </w:tcPr>
          <w:p w14:paraId="6D4E45A6" w14:textId="77777777" w:rsidR="00DB281D" w:rsidRPr="00DB281D" w:rsidRDefault="00DB281D" w:rsidP="00DB281D">
            <w:pPr>
              <w:pStyle w:val="TableParagraph"/>
              <w:spacing w:line="229" w:lineRule="exact"/>
              <w:rPr>
                <w:sz w:val="20"/>
              </w:rPr>
            </w:pPr>
            <w:r w:rsidRPr="00DB281D">
              <w:rPr>
                <w:sz w:val="20"/>
              </w:rPr>
              <w:t xml:space="preserve">6 </w:t>
            </w:r>
          </w:p>
          <w:p w14:paraId="7750D0B3" w14:textId="6ED2D016" w:rsidR="00F3373B" w:rsidRDefault="00DB281D" w:rsidP="00DB281D">
            <w:pPr>
              <w:pStyle w:val="TableParagraph"/>
              <w:spacing w:line="229" w:lineRule="exact"/>
              <w:rPr>
                <w:sz w:val="20"/>
              </w:rPr>
            </w:pPr>
            <w:r w:rsidRPr="00DB281D">
              <w:rPr>
                <w:sz w:val="20"/>
              </w:rPr>
              <w:t>(Quarterly target)</w:t>
            </w:r>
          </w:p>
        </w:tc>
        <w:tc>
          <w:tcPr>
            <w:tcW w:w="1985" w:type="dxa"/>
          </w:tcPr>
          <w:p w14:paraId="4CE2D7D3" w14:textId="77777777" w:rsidR="00DB281D" w:rsidRPr="00DB281D" w:rsidRDefault="00DB281D" w:rsidP="00DB281D">
            <w:pPr>
              <w:pStyle w:val="TableParagraph"/>
              <w:spacing w:line="229" w:lineRule="exact"/>
              <w:rPr>
                <w:sz w:val="20"/>
              </w:rPr>
            </w:pPr>
            <w:r w:rsidRPr="00DB281D">
              <w:rPr>
                <w:sz w:val="20"/>
              </w:rPr>
              <w:t>4</w:t>
            </w:r>
          </w:p>
          <w:p w14:paraId="72636D6B" w14:textId="357E9956" w:rsidR="00F3373B" w:rsidRDefault="00DB281D" w:rsidP="00DB281D">
            <w:pPr>
              <w:pStyle w:val="TableParagraph"/>
              <w:spacing w:line="229" w:lineRule="exact"/>
              <w:rPr>
                <w:sz w:val="20"/>
              </w:rPr>
            </w:pPr>
            <w:r w:rsidRPr="00DB281D">
              <w:rPr>
                <w:sz w:val="20"/>
              </w:rPr>
              <w:t>(Quarterly target)</w:t>
            </w:r>
          </w:p>
        </w:tc>
        <w:tc>
          <w:tcPr>
            <w:tcW w:w="4961" w:type="dxa"/>
          </w:tcPr>
          <w:p w14:paraId="6B698E97" w14:textId="798D8C10" w:rsidR="00F3373B" w:rsidRDefault="00DB281D" w:rsidP="00001A7C">
            <w:pPr>
              <w:pStyle w:val="TableParagraph"/>
              <w:ind w:left="109" w:right="154"/>
              <w:rPr>
                <w:sz w:val="20"/>
              </w:rPr>
            </w:pPr>
            <w:r w:rsidRPr="00DB281D">
              <w:rPr>
                <w:sz w:val="20"/>
              </w:rPr>
              <w:t xml:space="preserve">Extra staff (including an investment bid </w:t>
            </w:r>
            <w:r>
              <w:rPr>
                <w:sz w:val="20"/>
              </w:rPr>
              <w:t>in 2022-</w:t>
            </w:r>
            <w:r w:rsidRPr="00DB281D">
              <w:rPr>
                <w:sz w:val="20"/>
              </w:rPr>
              <w:t xml:space="preserve">23) have supported a reduction in call wait times. Not all additional staff can be guaranteed for future years hence a small reduction for </w:t>
            </w:r>
            <w:r>
              <w:rPr>
                <w:sz w:val="20"/>
              </w:rPr>
              <w:t>2023-</w:t>
            </w:r>
            <w:r w:rsidRPr="00DB281D">
              <w:rPr>
                <w:sz w:val="20"/>
              </w:rPr>
              <w:t>24. It is hoped to reduce further in future years.</w:t>
            </w:r>
          </w:p>
        </w:tc>
      </w:tr>
    </w:tbl>
    <w:p w14:paraId="6691030D" w14:textId="77777777" w:rsidR="00845C82" w:rsidRDefault="00845C82"/>
    <w:sectPr w:rsidR="00845C82" w:rsidSect="00F3373B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FD6770"/>
    <w:multiLevelType w:val="hybridMultilevel"/>
    <w:tmpl w:val="0290C08A"/>
    <w:lvl w:ilvl="0" w:tplc="02BC675A">
      <w:numFmt w:val="bullet"/>
      <w:lvlText w:val=""/>
      <w:lvlJc w:val="left"/>
      <w:pPr>
        <w:ind w:left="828" w:hanging="361"/>
      </w:pPr>
      <w:rPr>
        <w:rFonts w:hint="default"/>
        <w:w w:val="100"/>
        <w:lang w:val="en-GB" w:eastAsia="en-GB" w:bidi="en-GB"/>
      </w:rPr>
    </w:lvl>
    <w:lvl w:ilvl="1" w:tplc="540CB210">
      <w:numFmt w:val="bullet"/>
      <w:lvlText w:val="•"/>
      <w:lvlJc w:val="left"/>
      <w:pPr>
        <w:ind w:left="1494" w:hanging="361"/>
      </w:pPr>
      <w:rPr>
        <w:rFonts w:hint="default"/>
        <w:lang w:val="en-GB" w:eastAsia="en-GB" w:bidi="en-GB"/>
      </w:rPr>
    </w:lvl>
    <w:lvl w:ilvl="2" w:tplc="884E8A0A">
      <w:numFmt w:val="bullet"/>
      <w:lvlText w:val="•"/>
      <w:lvlJc w:val="left"/>
      <w:pPr>
        <w:ind w:left="2168" w:hanging="361"/>
      </w:pPr>
      <w:rPr>
        <w:rFonts w:hint="default"/>
        <w:lang w:val="en-GB" w:eastAsia="en-GB" w:bidi="en-GB"/>
      </w:rPr>
    </w:lvl>
    <w:lvl w:ilvl="3" w:tplc="2A52D5F8">
      <w:numFmt w:val="bullet"/>
      <w:lvlText w:val="•"/>
      <w:lvlJc w:val="left"/>
      <w:pPr>
        <w:ind w:left="2842" w:hanging="361"/>
      </w:pPr>
      <w:rPr>
        <w:rFonts w:hint="default"/>
        <w:lang w:val="en-GB" w:eastAsia="en-GB" w:bidi="en-GB"/>
      </w:rPr>
    </w:lvl>
    <w:lvl w:ilvl="4" w:tplc="075EDF04">
      <w:numFmt w:val="bullet"/>
      <w:lvlText w:val="•"/>
      <w:lvlJc w:val="left"/>
      <w:pPr>
        <w:ind w:left="3517" w:hanging="361"/>
      </w:pPr>
      <w:rPr>
        <w:rFonts w:hint="default"/>
        <w:lang w:val="en-GB" w:eastAsia="en-GB" w:bidi="en-GB"/>
      </w:rPr>
    </w:lvl>
    <w:lvl w:ilvl="5" w:tplc="4958288A">
      <w:numFmt w:val="bullet"/>
      <w:lvlText w:val="•"/>
      <w:lvlJc w:val="left"/>
      <w:pPr>
        <w:ind w:left="4191" w:hanging="361"/>
      </w:pPr>
      <w:rPr>
        <w:rFonts w:hint="default"/>
        <w:lang w:val="en-GB" w:eastAsia="en-GB" w:bidi="en-GB"/>
      </w:rPr>
    </w:lvl>
    <w:lvl w:ilvl="6" w:tplc="9A0430EE">
      <w:numFmt w:val="bullet"/>
      <w:lvlText w:val="•"/>
      <w:lvlJc w:val="left"/>
      <w:pPr>
        <w:ind w:left="4865" w:hanging="361"/>
      </w:pPr>
      <w:rPr>
        <w:rFonts w:hint="default"/>
        <w:lang w:val="en-GB" w:eastAsia="en-GB" w:bidi="en-GB"/>
      </w:rPr>
    </w:lvl>
    <w:lvl w:ilvl="7" w:tplc="6F3CCAAE">
      <w:numFmt w:val="bullet"/>
      <w:lvlText w:val="•"/>
      <w:lvlJc w:val="left"/>
      <w:pPr>
        <w:ind w:left="5540" w:hanging="361"/>
      </w:pPr>
      <w:rPr>
        <w:rFonts w:hint="default"/>
        <w:lang w:val="en-GB" w:eastAsia="en-GB" w:bidi="en-GB"/>
      </w:rPr>
    </w:lvl>
    <w:lvl w:ilvl="8" w:tplc="07CA1D48">
      <w:numFmt w:val="bullet"/>
      <w:lvlText w:val="•"/>
      <w:lvlJc w:val="left"/>
      <w:pPr>
        <w:ind w:left="6214" w:hanging="361"/>
      </w:pPr>
      <w:rPr>
        <w:rFonts w:hint="default"/>
        <w:lang w:val="en-GB" w:eastAsia="en-GB" w:bidi="en-GB"/>
      </w:rPr>
    </w:lvl>
  </w:abstractNum>
  <w:abstractNum w:abstractNumId="1" w15:restartNumberingAfterBreak="0">
    <w:nsid w:val="181B7564"/>
    <w:multiLevelType w:val="hybridMultilevel"/>
    <w:tmpl w:val="B4245E68"/>
    <w:lvl w:ilvl="0" w:tplc="0809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2" w15:restartNumberingAfterBreak="0">
    <w:nsid w:val="33CE1B02"/>
    <w:multiLevelType w:val="hybridMultilevel"/>
    <w:tmpl w:val="B2ACF93A"/>
    <w:lvl w:ilvl="0" w:tplc="BBECECBA">
      <w:numFmt w:val="bullet"/>
      <w:lvlText w:val=""/>
      <w:lvlJc w:val="left"/>
      <w:pPr>
        <w:ind w:left="828" w:hanging="361"/>
      </w:pPr>
      <w:rPr>
        <w:rFonts w:hint="default"/>
        <w:w w:val="100"/>
        <w:lang w:val="en-GB" w:eastAsia="en-GB" w:bidi="en-GB"/>
      </w:rPr>
    </w:lvl>
    <w:lvl w:ilvl="1" w:tplc="492C8F3C">
      <w:numFmt w:val="bullet"/>
      <w:lvlText w:val="•"/>
      <w:lvlJc w:val="left"/>
      <w:pPr>
        <w:ind w:left="1494" w:hanging="361"/>
      </w:pPr>
      <w:rPr>
        <w:rFonts w:hint="default"/>
        <w:lang w:val="en-GB" w:eastAsia="en-GB" w:bidi="en-GB"/>
      </w:rPr>
    </w:lvl>
    <w:lvl w:ilvl="2" w:tplc="784A25BA">
      <w:numFmt w:val="bullet"/>
      <w:lvlText w:val="•"/>
      <w:lvlJc w:val="left"/>
      <w:pPr>
        <w:ind w:left="2168" w:hanging="361"/>
      </w:pPr>
      <w:rPr>
        <w:rFonts w:hint="default"/>
        <w:lang w:val="en-GB" w:eastAsia="en-GB" w:bidi="en-GB"/>
      </w:rPr>
    </w:lvl>
    <w:lvl w:ilvl="3" w:tplc="C8D05A5A">
      <w:numFmt w:val="bullet"/>
      <w:lvlText w:val="•"/>
      <w:lvlJc w:val="left"/>
      <w:pPr>
        <w:ind w:left="2842" w:hanging="361"/>
      </w:pPr>
      <w:rPr>
        <w:rFonts w:hint="default"/>
        <w:lang w:val="en-GB" w:eastAsia="en-GB" w:bidi="en-GB"/>
      </w:rPr>
    </w:lvl>
    <w:lvl w:ilvl="4" w:tplc="8334D922">
      <w:numFmt w:val="bullet"/>
      <w:lvlText w:val="•"/>
      <w:lvlJc w:val="left"/>
      <w:pPr>
        <w:ind w:left="3517" w:hanging="361"/>
      </w:pPr>
      <w:rPr>
        <w:rFonts w:hint="default"/>
        <w:lang w:val="en-GB" w:eastAsia="en-GB" w:bidi="en-GB"/>
      </w:rPr>
    </w:lvl>
    <w:lvl w:ilvl="5" w:tplc="7F683768">
      <w:numFmt w:val="bullet"/>
      <w:lvlText w:val="•"/>
      <w:lvlJc w:val="left"/>
      <w:pPr>
        <w:ind w:left="4191" w:hanging="361"/>
      </w:pPr>
      <w:rPr>
        <w:rFonts w:hint="default"/>
        <w:lang w:val="en-GB" w:eastAsia="en-GB" w:bidi="en-GB"/>
      </w:rPr>
    </w:lvl>
    <w:lvl w:ilvl="6" w:tplc="E4EA6990">
      <w:numFmt w:val="bullet"/>
      <w:lvlText w:val="•"/>
      <w:lvlJc w:val="left"/>
      <w:pPr>
        <w:ind w:left="4865" w:hanging="361"/>
      </w:pPr>
      <w:rPr>
        <w:rFonts w:hint="default"/>
        <w:lang w:val="en-GB" w:eastAsia="en-GB" w:bidi="en-GB"/>
      </w:rPr>
    </w:lvl>
    <w:lvl w:ilvl="7" w:tplc="4F12FCC8">
      <w:numFmt w:val="bullet"/>
      <w:lvlText w:val="•"/>
      <w:lvlJc w:val="left"/>
      <w:pPr>
        <w:ind w:left="5540" w:hanging="361"/>
      </w:pPr>
      <w:rPr>
        <w:rFonts w:hint="default"/>
        <w:lang w:val="en-GB" w:eastAsia="en-GB" w:bidi="en-GB"/>
      </w:rPr>
    </w:lvl>
    <w:lvl w:ilvl="8" w:tplc="0E74B452">
      <w:numFmt w:val="bullet"/>
      <w:lvlText w:val="•"/>
      <w:lvlJc w:val="left"/>
      <w:pPr>
        <w:ind w:left="6214" w:hanging="361"/>
      </w:pPr>
      <w:rPr>
        <w:rFonts w:hint="default"/>
        <w:lang w:val="en-GB" w:eastAsia="en-GB" w:bidi="en-GB"/>
      </w:rPr>
    </w:lvl>
  </w:abstractNum>
  <w:abstractNum w:abstractNumId="3" w15:restartNumberingAfterBreak="0">
    <w:nsid w:val="41B44767"/>
    <w:multiLevelType w:val="hybridMultilevel"/>
    <w:tmpl w:val="FD043C90"/>
    <w:lvl w:ilvl="0" w:tplc="B9D0DD8A">
      <w:numFmt w:val="bullet"/>
      <w:lvlText w:val=""/>
      <w:lvlJc w:val="left"/>
      <w:pPr>
        <w:ind w:left="827" w:hanging="361"/>
      </w:pPr>
      <w:rPr>
        <w:rFonts w:hint="default"/>
        <w:w w:val="100"/>
        <w:lang w:val="en-GB" w:eastAsia="en-GB" w:bidi="en-GB"/>
      </w:rPr>
    </w:lvl>
    <w:lvl w:ilvl="1" w:tplc="8FB498E0">
      <w:numFmt w:val="bullet"/>
      <w:lvlText w:val="•"/>
      <w:lvlJc w:val="left"/>
      <w:pPr>
        <w:ind w:left="1502" w:hanging="361"/>
      </w:pPr>
      <w:rPr>
        <w:rFonts w:hint="default"/>
        <w:lang w:val="en-GB" w:eastAsia="en-GB" w:bidi="en-GB"/>
      </w:rPr>
    </w:lvl>
    <w:lvl w:ilvl="2" w:tplc="4C9442B6">
      <w:numFmt w:val="bullet"/>
      <w:lvlText w:val="•"/>
      <w:lvlJc w:val="left"/>
      <w:pPr>
        <w:ind w:left="2185" w:hanging="361"/>
      </w:pPr>
      <w:rPr>
        <w:rFonts w:hint="default"/>
        <w:lang w:val="en-GB" w:eastAsia="en-GB" w:bidi="en-GB"/>
      </w:rPr>
    </w:lvl>
    <w:lvl w:ilvl="3" w:tplc="BA363D1C">
      <w:numFmt w:val="bullet"/>
      <w:lvlText w:val="•"/>
      <w:lvlJc w:val="left"/>
      <w:pPr>
        <w:ind w:left="2867" w:hanging="361"/>
      </w:pPr>
      <w:rPr>
        <w:rFonts w:hint="default"/>
        <w:lang w:val="en-GB" w:eastAsia="en-GB" w:bidi="en-GB"/>
      </w:rPr>
    </w:lvl>
    <w:lvl w:ilvl="4" w:tplc="BB7069C8">
      <w:numFmt w:val="bullet"/>
      <w:lvlText w:val="•"/>
      <w:lvlJc w:val="left"/>
      <w:pPr>
        <w:ind w:left="3550" w:hanging="361"/>
      </w:pPr>
      <w:rPr>
        <w:rFonts w:hint="default"/>
        <w:lang w:val="en-GB" w:eastAsia="en-GB" w:bidi="en-GB"/>
      </w:rPr>
    </w:lvl>
    <w:lvl w:ilvl="5" w:tplc="8D6E4E50">
      <w:numFmt w:val="bullet"/>
      <w:lvlText w:val="•"/>
      <w:lvlJc w:val="left"/>
      <w:pPr>
        <w:ind w:left="4232" w:hanging="361"/>
      </w:pPr>
      <w:rPr>
        <w:rFonts w:hint="default"/>
        <w:lang w:val="en-GB" w:eastAsia="en-GB" w:bidi="en-GB"/>
      </w:rPr>
    </w:lvl>
    <w:lvl w:ilvl="6" w:tplc="D2A20D32">
      <w:numFmt w:val="bullet"/>
      <w:lvlText w:val="•"/>
      <w:lvlJc w:val="left"/>
      <w:pPr>
        <w:ind w:left="4915" w:hanging="361"/>
      </w:pPr>
      <w:rPr>
        <w:rFonts w:hint="default"/>
        <w:lang w:val="en-GB" w:eastAsia="en-GB" w:bidi="en-GB"/>
      </w:rPr>
    </w:lvl>
    <w:lvl w:ilvl="7" w:tplc="8BC6C120">
      <w:numFmt w:val="bullet"/>
      <w:lvlText w:val="•"/>
      <w:lvlJc w:val="left"/>
      <w:pPr>
        <w:ind w:left="5597" w:hanging="361"/>
      </w:pPr>
      <w:rPr>
        <w:rFonts w:hint="default"/>
        <w:lang w:val="en-GB" w:eastAsia="en-GB" w:bidi="en-GB"/>
      </w:rPr>
    </w:lvl>
    <w:lvl w:ilvl="8" w:tplc="5D341406">
      <w:numFmt w:val="bullet"/>
      <w:lvlText w:val="•"/>
      <w:lvlJc w:val="left"/>
      <w:pPr>
        <w:ind w:left="6280" w:hanging="361"/>
      </w:pPr>
      <w:rPr>
        <w:rFonts w:hint="default"/>
        <w:lang w:val="en-GB" w:eastAsia="en-GB" w:bidi="en-GB"/>
      </w:rPr>
    </w:lvl>
  </w:abstractNum>
  <w:abstractNum w:abstractNumId="4" w15:restartNumberingAfterBreak="0">
    <w:nsid w:val="449708CB"/>
    <w:multiLevelType w:val="hybridMultilevel"/>
    <w:tmpl w:val="E424B42C"/>
    <w:lvl w:ilvl="0" w:tplc="08090001">
      <w:start w:val="1"/>
      <w:numFmt w:val="bullet"/>
      <w:lvlText w:val=""/>
      <w:lvlJc w:val="left"/>
      <w:pPr>
        <w:ind w:left="8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</w:abstractNum>
  <w:abstractNum w:abstractNumId="5" w15:restartNumberingAfterBreak="0">
    <w:nsid w:val="59543279"/>
    <w:multiLevelType w:val="hybridMultilevel"/>
    <w:tmpl w:val="EDD23764"/>
    <w:lvl w:ilvl="0" w:tplc="75A6C6F0">
      <w:numFmt w:val="bullet"/>
      <w:lvlText w:val=""/>
      <w:lvlJc w:val="left"/>
      <w:pPr>
        <w:ind w:left="827" w:hanging="361"/>
      </w:pPr>
      <w:rPr>
        <w:rFonts w:hint="default"/>
        <w:w w:val="100"/>
        <w:lang w:val="en-GB" w:eastAsia="en-GB" w:bidi="en-GB"/>
      </w:rPr>
    </w:lvl>
    <w:lvl w:ilvl="1" w:tplc="89FAAEB4">
      <w:numFmt w:val="bullet"/>
      <w:lvlText w:val="•"/>
      <w:lvlJc w:val="left"/>
      <w:pPr>
        <w:ind w:left="1502" w:hanging="361"/>
      </w:pPr>
      <w:rPr>
        <w:rFonts w:hint="default"/>
        <w:lang w:val="en-GB" w:eastAsia="en-GB" w:bidi="en-GB"/>
      </w:rPr>
    </w:lvl>
    <w:lvl w:ilvl="2" w:tplc="B9684298">
      <w:numFmt w:val="bullet"/>
      <w:lvlText w:val="•"/>
      <w:lvlJc w:val="left"/>
      <w:pPr>
        <w:ind w:left="2185" w:hanging="361"/>
      </w:pPr>
      <w:rPr>
        <w:rFonts w:hint="default"/>
        <w:lang w:val="en-GB" w:eastAsia="en-GB" w:bidi="en-GB"/>
      </w:rPr>
    </w:lvl>
    <w:lvl w:ilvl="3" w:tplc="2E783FF6">
      <w:numFmt w:val="bullet"/>
      <w:lvlText w:val="•"/>
      <w:lvlJc w:val="left"/>
      <w:pPr>
        <w:ind w:left="2867" w:hanging="361"/>
      </w:pPr>
      <w:rPr>
        <w:rFonts w:hint="default"/>
        <w:lang w:val="en-GB" w:eastAsia="en-GB" w:bidi="en-GB"/>
      </w:rPr>
    </w:lvl>
    <w:lvl w:ilvl="4" w:tplc="490A5474">
      <w:numFmt w:val="bullet"/>
      <w:lvlText w:val="•"/>
      <w:lvlJc w:val="left"/>
      <w:pPr>
        <w:ind w:left="3550" w:hanging="361"/>
      </w:pPr>
      <w:rPr>
        <w:rFonts w:hint="default"/>
        <w:lang w:val="en-GB" w:eastAsia="en-GB" w:bidi="en-GB"/>
      </w:rPr>
    </w:lvl>
    <w:lvl w:ilvl="5" w:tplc="682CC084">
      <w:numFmt w:val="bullet"/>
      <w:lvlText w:val="•"/>
      <w:lvlJc w:val="left"/>
      <w:pPr>
        <w:ind w:left="4232" w:hanging="361"/>
      </w:pPr>
      <w:rPr>
        <w:rFonts w:hint="default"/>
        <w:lang w:val="en-GB" w:eastAsia="en-GB" w:bidi="en-GB"/>
      </w:rPr>
    </w:lvl>
    <w:lvl w:ilvl="6" w:tplc="2E0CE590">
      <w:numFmt w:val="bullet"/>
      <w:lvlText w:val="•"/>
      <w:lvlJc w:val="left"/>
      <w:pPr>
        <w:ind w:left="4915" w:hanging="361"/>
      </w:pPr>
      <w:rPr>
        <w:rFonts w:hint="default"/>
        <w:lang w:val="en-GB" w:eastAsia="en-GB" w:bidi="en-GB"/>
      </w:rPr>
    </w:lvl>
    <w:lvl w:ilvl="7" w:tplc="44B429EE">
      <w:numFmt w:val="bullet"/>
      <w:lvlText w:val="•"/>
      <w:lvlJc w:val="left"/>
      <w:pPr>
        <w:ind w:left="5597" w:hanging="361"/>
      </w:pPr>
      <w:rPr>
        <w:rFonts w:hint="default"/>
        <w:lang w:val="en-GB" w:eastAsia="en-GB" w:bidi="en-GB"/>
      </w:rPr>
    </w:lvl>
    <w:lvl w:ilvl="8" w:tplc="FC864DE4">
      <w:numFmt w:val="bullet"/>
      <w:lvlText w:val="•"/>
      <w:lvlJc w:val="left"/>
      <w:pPr>
        <w:ind w:left="6280" w:hanging="361"/>
      </w:pPr>
      <w:rPr>
        <w:rFonts w:hint="default"/>
        <w:lang w:val="en-GB" w:eastAsia="en-GB" w:bidi="en-GB"/>
      </w:rPr>
    </w:lvl>
  </w:abstractNum>
  <w:abstractNum w:abstractNumId="6" w15:restartNumberingAfterBreak="0">
    <w:nsid w:val="5F25516F"/>
    <w:multiLevelType w:val="hybridMultilevel"/>
    <w:tmpl w:val="8F063F36"/>
    <w:lvl w:ilvl="0" w:tplc="83FE3450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4"/>
        <w:szCs w:val="24"/>
        <w:lang w:val="en-GB" w:eastAsia="en-GB" w:bidi="en-GB"/>
      </w:rPr>
    </w:lvl>
    <w:lvl w:ilvl="1" w:tplc="52782430">
      <w:numFmt w:val="bullet"/>
      <w:lvlText w:val="•"/>
      <w:lvlJc w:val="left"/>
      <w:pPr>
        <w:ind w:left="1494" w:hanging="360"/>
      </w:pPr>
      <w:rPr>
        <w:rFonts w:hint="default"/>
        <w:lang w:val="en-GB" w:eastAsia="en-GB" w:bidi="en-GB"/>
      </w:rPr>
    </w:lvl>
    <w:lvl w:ilvl="2" w:tplc="C23AB2CA">
      <w:numFmt w:val="bullet"/>
      <w:lvlText w:val="•"/>
      <w:lvlJc w:val="left"/>
      <w:pPr>
        <w:ind w:left="2168" w:hanging="360"/>
      </w:pPr>
      <w:rPr>
        <w:rFonts w:hint="default"/>
        <w:lang w:val="en-GB" w:eastAsia="en-GB" w:bidi="en-GB"/>
      </w:rPr>
    </w:lvl>
    <w:lvl w:ilvl="3" w:tplc="6FFCA02C">
      <w:numFmt w:val="bullet"/>
      <w:lvlText w:val="•"/>
      <w:lvlJc w:val="left"/>
      <w:pPr>
        <w:ind w:left="2842" w:hanging="360"/>
      </w:pPr>
      <w:rPr>
        <w:rFonts w:hint="default"/>
        <w:lang w:val="en-GB" w:eastAsia="en-GB" w:bidi="en-GB"/>
      </w:rPr>
    </w:lvl>
    <w:lvl w:ilvl="4" w:tplc="58EA896C">
      <w:numFmt w:val="bullet"/>
      <w:lvlText w:val="•"/>
      <w:lvlJc w:val="left"/>
      <w:pPr>
        <w:ind w:left="3517" w:hanging="360"/>
      </w:pPr>
      <w:rPr>
        <w:rFonts w:hint="default"/>
        <w:lang w:val="en-GB" w:eastAsia="en-GB" w:bidi="en-GB"/>
      </w:rPr>
    </w:lvl>
    <w:lvl w:ilvl="5" w:tplc="84F2BD30">
      <w:numFmt w:val="bullet"/>
      <w:lvlText w:val="•"/>
      <w:lvlJc w:val="left"/>
      <w:pPr>
        <w:ind w:left="4191" w:hanging="360"/>
      </w:pPr>
      <w:rPr>
        <w:rFonts w:hint="default"/>
        <w:lang w:val="en-GB" w:eastAsia="en-GB" w:bidi="en-GB"/>
      </w:rPr>
    </w:lvl>
    <w:lvl w:ilvl="6" w:tplc="5C58FBF4">
      <w:numFmt w:val="bullet"/>
      <w:lvlText w:val="•"/>
      <w:lvlJc w:val="left"/>
      <w:pPr>
        <w:ind w:left="4865" w:hanging="360"/>
      </w:pPr>
      <w:rPr>
        <w:rFonts w:hint="default"/>
        <w:lang w:val="en-GB" w:eastAsia="en-GB" w:bidi="en-GB"/>
      </w:rPr>
    </w:lvl>
    <w:lvl w:ilvl="7" w:tplc="5C64E100">
      <w:numFmt w:val="bullet"/>
      <w:lvlText w:val="•"/>
      <w:lvlJc w:val="left"/>
      <w:pPr>
        <w:ind w:left="5540" w:hanging="360"/>
      </w:pPr>
      <w:rPr>
        <w:rFonts w:hint="default"/>
        <w:lang w:val="en-GB" w:eastAsia="en-GB" w:bidi="en-GB"/>
      </w:rPr>
    </w:lvl>
    <w:lvl w:ilvl="8" w:tplc="40D23414">
      <w:numFmt w:val="bullet"/>
      <w:lvlText w:val="•"/>
      <w:lvlJc w:val="left"/>
      <w:pPr>
        <w:ind w:left="6214" w:hanging="360"/>
      </w:pPr>
      <w:rPr>
        <w:rFonts w:hint="default"/>
        <w:lang w:val="en-GB" w:eastAsia="en-GB" w:bidi="en-GB"/>
      </w:rPr>
    </w:lvl>
  </w:abstractNum>
  <w:abstractNum w:abstractNumId="7" w15:restartNumberingAfterBreak="0">
    <w:nsid w:val="67520561"/>
    <w:multiLevelType w:val="hybridMultilevel"/>
    <w:tmpl w:val="F8F208C2"/>
    <w:lvl w:ilvl="0" w:tplc="40CAD5FE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4"/>
        <w:szCs w:val="24"/>
        <w:lang w:val="en-GB" w:eastAsia="en-GB" w:bidi="en-GB"/>
      </w:rPr>
    </w:lvl>
    <w:lvl w:ilvl="1" w:tplc="204C4A3E">
      <w:numFmt w:val="bullet"/>
      <w:lvlText w:val="•"/>
      <w:lvlJc w:val="left"/>
      <w:pPr>
        <w:ind w:left="1494" w:hanging="360"/>
      </w:pPr>
      <w:rPr>
        <w:rFonts w:hint="default"/>
        <w:lang w:val="en-GB" w:eastAsia="en-GB" w:bidi="en-GB"/>
      </w:rPr>
    </w:lvl>
    <w:lvl w:ilvl="2" w:tplc="B2142210">
      <w:numFmt w:val="bullet"/>
      <w:lvlText w:val="•"/>
      <w:lvlJc w:val="left"/>
      <w:pPr>
        <w:ind w:left="2168" w:hanging="360"/>
      </w:pPr>
      <w:rPr>
        <w:rFonts w:hint="default"/>
        <w:lang w:val="en-GB" w:eastAsia="en-GB" w:bidi="en-GB"/>
      </w:rPr>
    </w:lvl>
    <w:lvl w:ilvl="3" w:tplc="251AC47E">
      <w:numFmt w:val="bullet"/>
      <w:lvlText w:val="•"/>
      <w:lvlJc w:val="left"/>
      <w:pPr>
        <w:ind w:left="2842" w:hanging="360"/>
      </w:pPr>
      <w:rPr>
        <w:rFonts w:hint="default"/>
        <w:lang w:val="en-GB" w:eastAsia="en-GB" w:bidi="en-GB"/>
      </w:rPr>
    </w:lvl>
    <w:lvl w:ilvl="4" w:tplc="961ADA08">
      <w:numFmt w:val="bullet"/>
      <w:lvlText w:val="•"/>
      <w:lvlJc w:val="left"/>
      <w:pPr>
        <w:ind w:left="3517" w:hanging="360"/>
      </w:pPr>
      <w:rPr>
        <w:rFonts w:hint="default"/>
        <w:lang w:val="en-GB" w:eastAsia="en-GB" w:bidi="en-GB"/>
      </w:rPr>
    </w:lvl>
    <w:lvl w:ilvl="5" w:tplc="DCA663E6">
      <w:numFmt w:val="bullet"/>
      <w:lvlText w:val="•"/>
      <w:lvlJc w:val="left"/>
      <w:pPr>
        <w:ind w:left="4191" w:hanging="360"/>
      </w:pPr>
      <w:rPr>
        <w:rFonts w:hint="default"/>
        <w:lang w:val="en-GB" w:eastAsia="en-GB" w:bidi="en-GB"/>
      </w:rPr>
    </w:lvl>
    <w:lvl w:ilvl="6" w:tplc="DCDA4C22">
      <w:numFmt w:val="bullet"/>
      <w:lvlText w:val="•"/>
      <w:lvlJc w:val="left"/>
      <w:pPr>
        <w:ind w:left="4865" w:hanging="360"/>
      </w:pPr>
      <w:rPr>
        <w:rFonts w:hint="default"/>
        <w:lang w:val="en-GB" w:eastAsia="en-GB" w:bidi="en-GB"/>
      </w:rPr>
    </w:lvl>
    <w:lvl w:ilvl="7" w:tplc="449CA502">
      <w:numFmt w:val="bullet"/>
      <w:lvlText w:val="•"/>
      <w:lvlJc w:val="left"/>
      <w:pPr>
        <w:ind w:left="5540" w:hanging="360"/>
      </w:pPr>
      <w:rPr>
        <w:rFonts w:hint="default"/>
        <w:lang w:val="en-GB" w:eastAsia="en-GB" w:bidi="en-GB"/>
      </w:rPr>
    </w:lvl>
    <w:lvl w:ilvl="8" w:tplc="EE56EE28">
      <w:numFmt w:val="bullet"/>
      <w:lvlText w:val="•"/>
      <w:lvlJc w:val="left"/>
      <w:pPr>
        <w:ind w:left="6214" w:hanging="360"/>
      </w:pPr>
      <w:rPr>
        <w:rFonts w:hint="default"/>
        <w:lang w:val="en-GB" w:eastAsia="en-GB" w:bidi="en-GB"/>
      </w:rPr>
    </w:lvl>
  </w:abstractNum>
  <w:abstractNum w:abstractNumId="8" w15:restartNumberingAfterBreak="0">
    <w:nsid w:val="76F73615"/>
    <w:multiLevelType w:val="hybridMultilevel"/>
    <w:tmpl w:val="E98C488E"/>
    <w:lvl w:ilvl="0" w:tplc="E37A3E3C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en-GB" w:eastAsia="en-GB" w:bidi="en-GB"/>
      </w:rPr>
    </w:lvl>
    <w:lvl w:ilvl="1" w:tplc="E63AE58A">
      <w:numFmt w:val="bullet"/>
      <w:lvlText w:val="•"/>
      <w:lvlJc w:val="left"/>
      <w:pPr>
        <w:ind w:left="1502" w:hanging="360"/>
      </w:pPr>
      <w:rPr>
        <w:rFonts w:hint="default"/>
        <w:lang w:val="en-GB" w:eastAsia="en-GB" w:bidi="en-GB"/>
      </w:rPr>
    </w:lvl>
    <w:lvl w:ilvl="2" w:tplc="9E5E0B76">
      <w:numFmt w:val="bullet"/>
      <w:lvlText w:val="•"/>
      <w:lvlJc w:val="left"/>
      <w:pPr>
        <w:ind w:left="2185" w:hanging="360"/>
      </w:pPr>
      <w:rPr>
        <w:rFonts w:hint="default"/>
        <w:lang w:val="en-GB" w:eastAsia="en-GB" w:bidi="en-GB"/>
      </w:rPr>
    </w:lvl>
    <w:lvl w:ilvl="3" w:tplc="1A7A034E">
      <w:numFmt w:val="bullet"/>
      <w:lvlText w:val="•"/>
      <w:lvlJc w:val="left"/>
      <w:pPr>
        <w:ind w:left="2867" w:hanging="360"/>
      </w:pPr>
      <w:rPr>
        <w:rFonts w:hint="default"/>
        <w:lang w:val="en-GB" w:eastAsia="en-GB" w:bidi="en-GB"/>
      </w:rPr>
    </w:lvl>
    <w:lvl w:ilvl="4" w:tplc="27264822">
      <w:numFmt w:val="bullet"/>
      <w:lvlText w:val="•"/>
      <w:lvlJc w:val="left"/>
      <w:pPr>
        <w:ind w:left="3550" w:hanging="360"/>
      </w:pPr>
      <w:rPr>
        <w:rFonts w:hint="default"/>
        <w:lang w:val="en-GB" w:eastAsia="en-GB" w:bidi="en-GB"/>
      </w:rPr>
    </w:lvl>
    <w:lvl w:ilvl="5" w:tplc="AC441BAA">
      <w:numFmt w:val="bullet"/>
      <w:lvlText w:val="•"/>
      <w:lvlJc w:val="left"/>
      <w:pPr>
        <w:ind w:left="4232" w:hanging="360"/>
      </w:pPr>
      <w:rPr>
        <w:rFonts w:hint="default"/>
        <w:lang w:val="en-GB" w:eastAsia="en-GB" w:bidi="en-GB"/>
      </w:rPr>
    </w:lvl>
    <w:lvl w:ilvl="6" w:tplc="87B81B76">
      <w:numFmt w:val="bullet"/>
      <w:lvlText w:val="•"/>
      <w:lvlJc w:val="left"/>
      <w:pPr>
        <w:ind w:left="4915" w:hanging="360"/>
      </w:pPr>
      <w:rPr>
        <w:rFonts w:hint="default"/>
        <w:lang w:val="en-GB" w:eastAsia="en-GB" w:bidi="en-GB"/>
      </w:rPr>
    </w:lvl>
    <w:lvl w:ilvl="7" w:tplc="F53232A6">
      <w:numFmt w:val="bullet"/>
      <w:lvlText w:val="•"/>
      <w:lvlJc w:val="left"/>
      <w:pPr>
        <w:ind w:left="5597" w:hanging="360"/>
      </w:pPr>
      <w:rPr>
        <w:rFonts w:hint="default"/>
        <w:lang w:val="en-GB" w:eastAsia="en-GB" w:bidi="en-GB"/>
      </w:rPr>
    </w:lvl>
    <w:lvl w:ilvl="8" w:tplc="59E878DC">
      <w:numFmt w:val="bullet"/>
      <w:lvlText w:val="•"/>
      <w:lvlJc w:val="left"/>
      <w:pPr>
        <w:ind w:left="6280" w:hanging="360"/>
      </w:pPr>
      <w:rPr>
        <w:rFonts w:hint="default"/>
        <w:lang w:val="en-GB" w:eastAsia="en-GB" w:bidi="en-GB"/>
      </w:rPr>
    </w:lvl>
  </w:abstractNum>
  <w:abstractNum w:abstractNumId="9" w15:restartNumberingAfterBreak="0">
    <w:nsid w:val="7A143624"/>
    <w:multiLevelType w:val="hybridMultilevel"/>
    <w:tmpl w:val="6152054E"/>
    <w:lvl w:ilvl="0" w:tplc="C0087916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en-GB" w:eastAsia="en-GB" w:bidi="en-GB"/>
      </w:rPr>
    </w:lvl>
    <w:lvl w:ilvl="1" w:tplc="D46AA4E2">
      <w:numFmt w:val="bullet"/>
      <w:lvlText w:val="•"/>
      <w:lvlJc w:val="left"/>
      <w:pPr>
        <w:ind w:left="1502" w:hanging="360"/>
      </w:pPr>
      <w:rPr>
        <w:rFonts w:hint="default"/>
        <w:lang w:val="en-GB" w:eastAsia="en-GB" w:bidi="en-GB"/>
      </w:rPr>
    </w:lvl>
    <w:lvl w:ilvl="2" w:tplc="EDE02DE6">
      <w:numFmt w:val="bullet"/>
      <w:lvlText w:val="•"/>
      <w:lvlJc w:val="left"/>
      <w:pPr>
        <w:ind w:left="2185" w:hanging="360"/>
      </w:pPr>
      <w:rPr>
        <w:rFonts w:hint="default"/>
        <w:lang w:val="en-GB" w:eastAsia="en-GB" w:bidi="en-GB"/>
      </w:rPr>
    </w:lvl>
    <w:lvl w:ilvl="3" w:tplc="3262241A">
      <w:numFmt w:val="bullet"/>
      <w:lvlText w:val="•"/>
      <w:lvlJc w:val="left"/>
      <w:pPr>
        <w:ind w:left="2867" w:hanging="360"/>
      </w:pPr>
      <w:rPr>
        <w:rFonts w:hint="default"/>
        <w:lang w:val="en-GB" w:eastAsia="en-GB" w:bidi="en-GB"/>
      </w:rPr>
    </w:lvl>
    <w:lvl w:ilvl="4" w:tplc="5688FEB4">
      <w:numFmt w:val="bullet"/>
      <w:lvlText w:val="•"/>
      <w:lvlJc w:val="left"/>
      <w:pPr>
        <w:ind w:left="3550" w:hanging="360"/>
      </w:pPr>
      <w:rPr>
        <w:rFonts w:hint="default"/>
        <w:lang w:val="en-GB" w:eastAsia="en-GB" w:bidi="en-GB"/>
      </w:rPr>
    </w:lvl>
    <w:lvl w:ilvl="5" w:tplc="E638775C">
      <w:numFmt w:val="bullet"/>
      <w:lvlText w:val="•"/>
      <w:lvlJc w:val="left"/>
      <w:pPr>
        <w:ind w:left="4232" w:hanging="360"/>
      </w:pPr>
      <w:rPr>
        <w:rFonts w:hint="default"/>
        <w:lang w:val="en-GB" w:eastAsia="en-GB" w:bidi="en-GB"/>
      </w:rPr>
    </w:lvl>
    <w:lvl w:ilvl="6" w:tplc="70560C62">
      <w:numFmt w:val="bullet"/>
      <w:lvlText w:val="•"/>
      <w:lvlJc w:val="left"/>
      <w:pPr>
        <w:ind w:left="4915" w:hanging="360"/>
      </w:pPr>
      <w:rPr>
        <w:rFonts w:hint="default"/>
        <w:lang w:val="en-GB" w:eastAsia="en-GB" w:bidi="en-GB"/>
      </w:rPr>
    </w:lvl>
    <w:lvl w:ilvl="7" w:tplc="77542F2E">
      <w:numFmt w:val="bullet"/>
      <w:lvlText w:val="•"/>
      <w:lvlJc w:val="left"/>
      <w:pPr>
        <w:ind w:left="5597" w:hanging="360"/>
      </w:pPr>
      <w:rPr>
        <w:rFonts w:hint="default"/>
        <w:lang w:val="en-GB" w:eastAsia="en-GB" w:bidi="en-GB"/>
      </w:rPr>
    </w:lvl>
    <w:lvl w:ilvl="8" w:tplc="537AEE50">
      <w:numFmt w:val="bullet"/>
      <w:lvlText w:val="•"/>
      <w:lvlJc w:val="left"/>
      <w:pPr>
        <w:ind w:left="6280" w:hanging="360"/>
      </w:pPr>
      <w:rPr>
        <w:rFonts w:hint="default"/>
        <w:lang w:val="en-GB" w:eastAsia="en-GB" w:bidi="en-GB"/>
      </w:rPr>
    </w:lvl>
  </w:abstractNum>
  <w:num w:numId="1" w16cid:durableId="132143989">
    <w:abstractNumId w:val="0"/>
  </w:num>
  <w:num w:numId="2" w16cid:durableId="1839925457">
    <w:abstractNumId w:val="9"/>
  </w:num>
  <w:num w:numId="3" w16cid:durableId="1671565591">
    <w:abstractNumId w:val="2"/>
  </w:num>
  <w:num w:numId="4" w16cid:durableId="1237592239">
    <w:abstractNumId w:val="8"/>
  </w:num>
  <w:num w:numId="5" w16cid:durableId="137111889">
    <w:abstractNumId w:val="6"/>
  </w:num>
  <w:num w:numId="6" w16cid:durableId="804010340">
    <w:abstractNumId w:val="3"/>
  </w:num>
  <w:num w:numId="7" w16cid:durableId="1950618653">
    <w:abstractNumId w:val="7"/>
  </w:num>
  <w:num w:numId="8" w16cid:durableId="1633244786">
    <w:abstractNumId w:val="5"/>
  </w:num>
  <w:num w:numId="9" w16cid:durableId="474488664">
    <w:abstractNumId w:val="4"/>
  </w:num>
  <w:num w:numId="10" w16cid:durableId="5748229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73B"/>
    <w:rsid w:val="00001A7C"/>
    <w:rsid w:val="000B623A"/>
    <w:rsid w:val="002F1DDB"/>
    <w:rsid w:val="003037E5"/>
    <w:rsid w:val="003D5DA1"/>
    <w:rsid w:val="00407876"/>
    <w:rsid w:val="004551EE"/>
    <w:rsid w:val="00484180"/>
    <w:rsid w:val="004A7E79"/>
    <w:rsid w:val="004D348F"/>
    <w:rsid w:val="0062538E"/>
    <w:rsid w:val="00774457"/>
    <w:rsid w:val="00845C82"/>
    <w:rsid w:val="008520A7"/>
    <w:rsid w:val="008764AD"/>
    <w:rsid w:val="008E5D19"/>
    <w:rsid w:val="0093271D"/>
    <w:rsid w:val="00A2575A"/>
    <w:rsid w:val="00B21AAA"/>
    <w:rsid w:val="00B514E4"/>
    <w:rsid w:val="00BE4311"/>
    <w:rsid w:val="00D31564"/>
    <w:rsid w:val="00DB281D"/>
    <w:rsid w:val="00E03E84"/>
    <w:rsid w:val="00E37E02"/>
    <w:rsid w:val="00F33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6F7663"/>
  <w15:chartTrackingRefBased/>
  <w15:docId w15:val="{B7E16A01-1E92-44CB-86FC-76ECD44C1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373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lang w:eastAsia="en-GB" w:bidi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F3373B"/>
    <w:rPr>
      <w:b/>
      <w:bCs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F3373B"/>
    <w:rPr>
      <w:rFonts w:ascii="Arial" w:eastAsia="Arial" w:hAnsi="Arial" w:cs="Arial"/>
      <w:b/>
      <w:bCs/>
      <w:kern w:val="0"/>
      <w:sz w:val="28"/>
      <w:szCs w:val="28"/>
      <w:lang w:eastAsia="en-GB" w:bidi="en-GB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F3373B"/>
    <w:pPr>
      <w:ind w:left="108"/>
    </w:pPr>
  </w:style>
  <w:style w:type="character" w:styleId="CommentReference">
    <w:name w:val="annotation reference"/>
    <w:basedOn w:val="DefaultParagraphFont"/>
    <w:uiPriority w:val="99"/>
    <w:semiHidden/>
    <w:unhideWhenUsed/>
    <w:rsid w:val="00F3373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3373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3373B"/>
    <w:rPr>
      <w:rFonts w:ascii="Arial" w:eastAsia="Arial" w:hAnsi="Arial" w:cs="Arial"/>
      <w:kern w:val="0"/>
      <w:sz w:val="20"/>
      <w:szCs w:val="20"/>
      <w:lang w:eastAsia="en-GB" w:bidi="en-GB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51E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51EE"/>
    <w:rPr>
      <w:rFonts w:ascii="Arial" w:eastAsia="Arial" w:hAnsi="Arial" w:cs="Arial"/>
      <w:b/>
      <w:bCs/>
      <w:kern w:val="0"/>
      <w:sz w:val="20"/>
      <w:szCs w:val="20"/>
      <w:lang w:eastAsia="en-GB" w:bidi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B1DE5231BB2F41A8ACC814A4F35516" ma:contentTypeVersion="16" ma:contentTypeDescription="Create a new document." ma:contentTypeScope="" ma:versionID="13339ddb0efceb8abe6da0c4f20a1b3b">
  <xsd:schema xmlns:xsd="http://www.w3.org/2001/XMLSchema" xmlns:xs="http://www.w3.org/2001/XMLSchema" xmlns:p="http://schemas.microsoft.com/office/2006/metadata/properties" xmlns:ns2="c8aef095-278f-4d61-9c79-f9703ef74036" xmlns:ns3="725491a8-493b-4c39-bb07-f95e650b23e2" targetNamespace="http://schemas.microsoft.com/office/2006/metadata/properties" ma:root="true" ma:fieldsID="b98be6da4f59be4668b36e18d0df7640" ns2:_="" ns3:_="">
    <xsd:import namespace="c8aef095-278f-4d61-9c79-f9703ef74036"/>
    <xsd:import namespace="725491a8-493b-4c39-bb07-f95e650b23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aef095-278f-4d61-9c79-f9703ef740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a7b43f68-6021-4dde-874b-fd9bb6c1ad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5491a8-493b-4c39-bb07-f95e650b23e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39707aa5-c043-4db4-91d8-d20ecc29e121}" ma:internalName="TaxCatchAll" ma:showField="CatchAllData" ma:web="725491a8-493b-4c39-bb07-f95e650b23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25491a8-493b-4c39-bb07-f95e650b23e2" xsi:nil="true"/>
    <lcf76f155ced4ddcb4097134ff3c332f xmlns="c8aef095-278f-4d61-9c79-f9703ef74036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97AA381-FC08-45C9-A18A-DDD8B8238E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aef095-278f-4d61-9c79-f9703ef74036"/>
    <ds:schemaRef ds:uri="725491a8-493b-4c39-bb07-f95e650b23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9A9DC46-1DE8-428E-8C2B-AB3F9D1803CE}">
  <ds:schemaRefs>
    <ds:schemaRef ds:uri="http://schemas.microsoft.com/office/2006/metadata/properties"/>
    <ds:schemaRef ds:uri="http://schemas.microsoft.com/office/infopath/2007/PartnerControls"/>
    <ds:schemaRef ds:uri="725491a8-493b-4c39-bb07-f95e650b23e2"/>
    <ds:schemaRef ds:uri="c8aef095-278f-4d61-9c79-f9703ef74036"/>
  </ds:schemaRefs>
</ds:datastoreItem>
</file>

<file path=customXml/itemProps3.xml><?xml version="1.0" encoding="utf-8"?>
<ds:datastoreItem xmlns:ds="http://schemas.openxmlformats.org/officeDocument/2006/customXml" ds:itemID="{1A75F46A-38EB-4A4C-8B58-19B7D322BCE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922</Words>
  <Characters>5258</Characters>
  <Application>Microsoft Office Word</Application>
  <DocSecurity>0</DocSecurity>
  <Lines>43</Lines>
  <Paragraphs>12</Paragraphs>
  <ScaleCrop>false</ScaleCrop>
  <Company/>
  <LinksUpToDate>false</LinksUpToDate>
  <CharactersWithSpaces>6168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 Lound</dc:creator>
  <cp:keywords/>
  <dc:description/>
  <cp:lastModifiedBy>Tanya Lound</cp:lastModifiedBy>
  <cp:revision>21</cp:revision>
  <dcterms:created xsi:type="dcterms:W3CDTF">2024-06-14T23:36:00Z</dcterms:created>
  <dcterms:modified xsi:type="dcterms:W3CDTF">2024-08-08T11:21:00Z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0x01010067B1DE5231BB2F41A8ACC814A4F35516</vt:lpwstr>
  </property>
  <property fmtid="{D5CDD505-2E9C-101B-9397-08002B2CF9AE}" pid="3" name="MediaServiceImageTags">
    <vt:lpwstr/>
  </property>
</Properties>
</file>