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7A5B53B0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915FF5" w:rsidRPr="00915FF5">
        <w:rPr>
          <w:rFonts w:cs="Arial"/>
          <w:b/>
          <w:color w:val="FF0000"/>
          <w:sz w:val="21"/>
          <w:szCs w:val="21"/>
          <w:lang w:eastAsia="en-US"/>
        </w:rPr>
        <w:t>Percutaneous endoscopic gastrostomy (PEG) Feeding of a liquidised Diet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A7E7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3690"/>
        <w:gridCol w:w="705"/>
        <w:gridCol w:w="708"/>
        <w:gridCol w:w="709"/>
        <w:gridCol w:w="571"/>
        <w:gridCol w:w="3391"/>
        <w:gridCol w:w="1146"/>
      </w:tblGrid>
      <w:tr w:rsidR="009B5547" w14:paraId="22CE87DC" w14:textId="77777777" w:rsidTr="00DD5A56">
        <w:trPr>
          <w:trHeight w:val="24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DD5A56">
        <w:trPr>
          <w:trHeight w:val="27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686"/>
        <w:gridCol w:w="709"/>
        <w:gridCol w:w="708"/>
        <w:gridCol w:w="709"/>
        <w:gridCol w:w="567"/>
        <w:gridCol w:w="3402"/>
        <w:gridCol w:w="1133"/>
      </w:tblGrid>
      <w:tr w:rsidR="00DD5A56" w:rsidRPr="007E3E10" w14:paraId="22CE87F5" w14:textId="77777777" w:rsidTr="007028FD">
        <w:tc>
          <w:tcPr>
            <w:tcW w:w="3227" w:type="dxa"/>
            <w:shd w:val="clear" w:color="auto" w:fill="auto"/>
          </w:tcPr>
          <w:p w14:paraId="5C115CDF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Nutritional deficiency and decline in nutritional status.</w:t>
            </w:r>
          </w:p>
          <w:p w14:paraId="2124CE86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Non adherence to enteral</w:t>
            </w:r>
          </w:p>
          <w:p w14:paraId="22CE87EC" w14:textId="436C70AF" w:rsidR="007851F5" w:rsidRPr="0048344C" w:rsidRDefault="00915FF5" w:rsidP="00915FF5">
            <w:pPr>
              <w:rPr>
                <w:rFonts w:eastAsia="Calibri"/>
                <w:szCs w:val="22"/>
                <w:lang w:val="en-US"/>
              </w:rPr>
            </w:pPr>
            <w:proofErr w:type="gramStart"/>
            <w:r w:rsidRPr="00915FF5">
              <w:rPr>
                <w:rFonts w:eastAsia="Calibri"/>
                <w:szCs w:val="22"/>
                <w:lang w:val="en-US"/>
              </w:rPr>
              <w:t>feeding</w:t>
            </w:r>
            <w:proofErr w:type="gramEnd"/>
            <w:r w:rsidRPr="00915FF5">
              <w:rPr>
                <w:rFonts w:eastAsia="Calibri"/>
                <w:szCs w:val="22"/>
                <w:lang w:val="en-US"/>
              </w:rPr>
              <w:t xml:space="preserve"> care plan.</w:t>
            </w:r>
            <w:r>
              <w:rPr>
                <w:rFonts w:eastAsia="Calibri"/>
                <w:szCs w:val="22"/>
                <w:lang w:val="en-US"/>
              </w:rPr>
              <w:t xml:space="preserve"> Administering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Liquidised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diet. </w:t>
            </w:r>
            <w:r w:rsidRPr="00915FF5">
              <w:rPr>
                <w:rFonts w:eastAsia="Calibri"/>
                <w:szCs w:val="22"/>
                <w:lang w:val="en-US"/>
              </w:rPr>
              <w:t>Potential increased feed</w:t>
            </w:r>
            <w:r>
              <w:rPr>
                <w:rFonts w:eastAsia="Calibri"/>
                <w:szCs w:val="22"/>
                <w:lang w:val="en-US"/>
              </w:rPr>
              <w:t xml:space="preserve"> v</w:t>
            </w:r>
            <w:r w:rsidRPr="00915FF5">
              <w:rPr>
                <w:rFonts w:eastAsia="Calibri"/>
                <w:szCs w:val="22"/>
                <w:lang w:val="en-US"/>
              </w:rPr>
              <w:t>olume. Risk of malnutrition and worsening of nutritional status. GI disturbance including vomiting, feed volume intolerance.</w:t>
            </w:r>
          </w:p>
        </w:tc>
        <w:tc>
          <w:tcPr>
            <w:tcW w:w="1417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971364B" w14:textId="3BA2C993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Cs w:val="22"/>
                <w:lang w:val="en-US"/>
              </w:rPr>
              <w:t>Recognised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915FF5">
              <w:rPr>
                <w:rFonts w:eastAsia="Calibri"/>
                <w:szCs w:val="22"/>
                <w:lang w:val="en-US"/>
              </w:rPr>
              <w:t>best practice in the UK – following full dietetic</w:t>
            </w:r>
          </w:p>
          <w:p w14:paraId="273C9C83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Assessment recommend the administration of only products</w:t>
            </w:r>
          </w:p>
          <w:p w14:paraId="5B4D0915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defined as Foods for Special Medical Purposes are used as</w:t>
            </w:r>
          </w:p>
          <w:p w14:paraId="22CE87EE" w14:textId="35624D03" w:rsidR="002D1D4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Enteral feeds.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FAEA5E8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Provide dietary analysis of a menu plan provided by the patient/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carer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>.</w:t>
            </w:r>
          </w:p>
          <w:p w14:paraId="1A1FB902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 xml:space="preserve">Consider the use of web based apps (question validity) which may be used to independently 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analyse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 xml:space="preserve"> nutritional adequacy.</w:t>
            </w:r>
          </w:p>
          <w:p w14:paraId="4E0941CA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Discuss the patient’s fluid requirements and consider the use of nutrient dense fluids to be used to dilute the feed to the required viscosity.</w:t>
            </w:r>
          </w:p>
          <w:p w14:paraId="542DC7D6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Consider total fluid volume of bolus and required flushes.</w:t>
            </w:r>
          </w:p>
          <w:p w14:paraId="7B583454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Assess the requirement for a broad spectrum vitamin and mineral supplement.</w:t>
            </w:r>
          </w:p>
          <w:p w14:paraId="01DC87AF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 xml:space="preserve">Discuss the option to combine modes of feeding rather than 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liquidised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 xml:space="preserve"> food being used as a sole source of nutrition.</w:t>
            </w:r>
          </w:p>
          <w:p w14:paraId="044E0025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 xml:space="preserve">Recommend detailed food and symptom diary is </w:t>
            </w:r>
            <w:r w:rsidRPr="00915FF5">
              <w:rPr>
                <w:rFonts w:eastAsia="Calibri"/>
                <w:szCs w:val="22"/>
                <w:lang w:val="en-US"/>
              </w:rPr>
              <w:lastRenderedPageBreak/>
              <w:t>recorded by the patient/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carer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>.</w:t>
            </w:r>
          </w:p>
          <w:p w14:paraId="22CE87F3" w14:textId="3F684E6E" w:rsidR="002D1D45" w:rsidRPr="007E3E10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Recommend increased frequency of monitoring of anthropometry and nutritional status.</w:t>
            </w:r>
          </w:p>
        </w:tc>
        <w:tc>
          <w:tcPr>
            <w:tcW w:w="1133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44FE3005" w14:textId="77777777" w:rsidTr="007028FD">
        <w:tc>
          <w:tcPr>
            <w:tcW w:w="3227" w:type="dxa"/>
            <w:shd w:val="clear" w:color="auto" w:fill="auto"/>
          </w:tcPr>
          <w:p w14:paraId="178509F6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lastRenderedPageBreak/>
              <w:t xml:space="preserve">Patency of the enteral feeding device. Use of enteral feeding device outside of (and not in line with) the manufacturer’s guidance for use. </w:t>
            </w:r>
          </w:p>
          <w:p w14:paraId="65DBE01B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 xml:space="preserve">Blockage of device. </w:t>
            </w:r>
          </w:p>
          <w:p w14:paraId="3F315F6C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Reduced life span of tube.</w:t>
            </w:r>
          </w:p>
          <w:p w14:paraId="6426967D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Temperature control guidance</w:t>
            </w:r>
          </w:p>
          <w:p w14:paraId="37681499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proofErr w:type="gramStart"/>
            <w:r w:rsidRPr="00915FF5">
              <w:rPr>
                <w:rFonts w:eastAsia="Calibri"/>
                <w:szCs w:val="22"/>
                <w:lang w:val="en-US"/>
              </w:rPr>
              <w:t>of</w:t>
            </w:r>
            <w:proofErr w:type="gramEnd"/>
            <w:r w:rsidRPr="00915FF5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liquidised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 xml:space="preserve"> feed. Below 8°C and above 63°C.</w:t>
            </w:r>
          </w:p>
          <w:p w14:paraId="2BF95126" w14:textId="0A755C29" w:rsidR="002C3F4B" w:rsidRPr="0048344C" w:rsidRDefault="00915FF5" w:rsidP="0048344C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 xml:space="preserve">Enteral feeding device blockage. May require 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A&amp;E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 xml:space="preserve"> visit, hospital admission to unblock or replace the device</w:t>
            </w:r>
          </w:p>
        </w:tc>
        <w:tc>
          <w:tcPr>
            <w:tcW w:w="1417" w:type="dxa"/>
            <w:shd w:val="clear" w:color="auto" w:fill="auto"/>
          </w:tcPr>
          <w:p w14:paraId="16AAFA25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446C4DC" w14:textId="77777777" w:rsidR="00915FF5" w:rsidRPr="00915FF5" w:rsidRDefault="00915FF5" w:rsidP="00915FF5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Refer to Enteral Plastic Safety Group (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EPSG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 xml:space="preserve">) </w:t>
            </w:r>
            <w:r w:rsidRPr="00915FF5">
              <w:rPr>
                <w:rFonts w:eastAsia="Calibri"/>
                <w:szCs w:val="22"/>
                <w:lang w:val="en-US"/>
              </w:rPr>
              <w:t>statement.</w:t>
            </w:r>
          </w:p>
          <w:p w14:paraId="18CAD05F" w14:textId="3E4B8AB2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hyperlink r:id="rId16" w:history="1">
              <w:r w:rsidRPr="00915FF5">
                <w:rPr>
                  <w:rStyle w:val="Hyperlink"/>
                  <w:rFonts w:eastAsia="Calibri"/>
                  <w:szCs w:val="22"/>
                  <w:lang w:val="en-US"/>
                </w:rPr>
                <w:t>http://www.nnng.org.uk/2014/05/enteral-plastic-safety-group-epsg-statement/</w:t>
              </w:r>
            </w:hyperlink>
          </w:p>
          <w:p w14:paraId="37A8915F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</w:p>
          <w:p w14:paraId="384B2107" w14:textId="58DDC094" w:rsidR="002D1D45" w:rsidRPr="00915FF5" w:rsidRDefault="00915FF5" w:rsidP="00915FF5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proofErr w:type="spellStart"/>
            <w:r w:rsidRPr="00915FF5">
              <w:rPr>
                <w:rFonts w:eastAsia="Calibri"/>
                <w:szCs w:val="22"/>
                <w:lang w:val="en-US"/>
              </w:rPr>
              <w:t>Recognised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 xml:space="preserve"> UK practice to use medical device in line with manufacturer’s guidance.</w:t>
            </w:r>
          </w:p>
        </w:tc>
        <w:tc>
          <w:tcPr>
            <w:tcW w:w="709" w:type="dxa"/>
            <w:shd w:val="clear" w:color="auto" w:fill="auto"/>
          </w:tcPr>
          <w:p w14:paraId="353EDD3D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7BA42E1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FA483C9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608BE2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2752D348" w14:textId="7EF08C9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Consider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carer</w:t>
            </w:r>
            <w:proofErr w:type="spellEnd"/>
            <w:r>
              <w:rPr>
                <w:rFonts w:eastAsia="Calibri"/>
                <w:szCs w:val="22"/>
                <w:lang w:val="en-US"/>
              </w:rPr>
              <w:t>/</w:t>
            </w:r>
            <w:r w:rsidRPr="00915FF5">
              <w:rPr>
                <w:rFonts w:eastAsia="Calibri"/>
                <w:szCs w:val="22"/>
                <w:lang w:val="en-US"/>
              </w:rPr>
              <w:t>patient whether they have been trained to replace device to prevent hospital admission.</w:t>
            </w:r>
          </w:p>
          <w:p w14:paraId="2F802CA7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Consider the lumen size at each connection junction.</w:t>
            </w:r>
          </w:p>
          <w:p w14:paraId="52C92C5F" w14:textId="10C7BE98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 xml:space="preserve">Review and </w:t>
            </w:r>
            <w:r>
              <w:rPr>
                <w:rFonts w:eastAsia="Calibri"/>
                <w:szCs w:val="22"/>
                <w:lang w:val="en-US"/>
              </w:rPr>
              <w:t xml:space="preserve">monitor the frequency of device </w:t>
            </w:r>
            <w:r w:rsidRPr="00915FF5">
              <w:rPr>
                <w:rFonts w:eastAsia="Calibri"/>
                <w:szCs w:val="22"/>
                <w:lang w:val="en-US"/>
              </w:rPr>
              <w:t>change.</w:t>
            </w:r>
          </w:p>
          <w:p w14:paraId="0AB80877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Consider cost impact of additional gastrostomy tubes which may be required.</w:t>
            </w:r>
          </w:p>
          <w:p w14:paraId="13E36373" w14:textId="51296970" w:rsidR="00E4681B" w:rsidRPr="007E3E10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Escalate and document in dietetic and medical records that your patient has\chosen to use a medical device which is outside the scope of the manufacturer’s information for use guidance. Temperature control guidance is unrealistic with this practice.</w:t>
            </w:r>
          </w:p>
        </w:tc>
        <w:tc>
          <w:tcPr>
            <w:tcW w:w="1133" w:type="dxa"/>
            <w:shd w:val="clear" w:color="auto" w:fill="auto"/>
          </w:tcPr>
          <w:p w14:paraId="156B007B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15468292" w14:textId="77777777" w:rsidTr="002D1D45">
        <w:tc>
          <w:tcPr>
            <w:tcW w:w="3227" w:type="dxa"/>
            <w:shd w:val="clear" w:color="auto" w:fill="auto"/>
          </w:tcPr>
          <w:p w14:paraId="571291F8" w14:textId="77777777" w:rsidR="00915FF5" w:rsidRPr="00915FF5" w:rsidRDefault="00915FF5" w:rsidP="00915FF5">
            <w:pPr>
              <w:rPr>
                <w:rFonts w:cs="Arial"/>
              </w:rPr>
            </w:pPr>
            <w:r w:rsidRPr="00915FF5">
              <w:rPr>
                <w:rFonts w:cs="Arial"/>
              </w:rPr>
              <w:t>Food borne infection.</w:t>
            </w:r>
          </w:p>
          <w:p w14:paraId="7E76BFEA" w14:textId="77777777" w:rsidR="00915FF5" w:rsidRPr="00915FF5" w:rsidRDefault="00915FF5" w:rsidP="00915FF5">
            <w:pPr>
              <w:rPr>
                <w:rFonts w:cs="Arial"/>
              </w:rPr>
            </w:pPr>
            <w:r w:rsidRPr="00915FF5">
              <w:rPr>
                <w:rFonts w:cs="Arial"/>
              </w:rPr>
              <w:t>Bacterial load of the liquidised feed.</w:t>
            </w:r>
          </w:p>
          <w:p w14:paraId="2CAD78A2" w14:textId="77777777" w:rsidR="00915FF5" w:rsidRPr="00915FF5" w:rsidRDefault="00915FF5" w:rsidP="00915FF5">
            <w:pPr>
              <w:rPr>
                <w:rFonts w:cs="Arial"/>
              </w:rPr>
            </w:pPr>
            <w:r w:rsidRPr="00915FF5">
              <w:rPr>
                <w:rFonts w:cs="Arial"/>
              </w:rPr>
              <w:t>Potential contamination from the utensils used in preparation and the re-usable</w:t>
            </w:r>
          </w:p>
          <w:p w14:paraId="08A732B6" w14:textId="15F9A5D0" w:rsidR="0007455E" w:rsidRPr="0048344C" w:rsidRDefault="00915FF5" w:rsidP="00915FF5">
            <w:pPr>
              <w:rPr>
                <w:rFonts w:cs="Arial"/>
              </w:rPr>
            </w:pPr>
            <w:r w:rsidRPr="00915FF5">
              <w:rPr>
                <w:rFonts w:cs="Arial"/>
              </w:rPr>
              <w:t>Enteral feeding ancillary equipment.</w:t>
            </w:r>
          </w:p>
        </w:tc>
        <w:tc>
          <w:tcPr>
            <w:tcW w:w="1417" w:type="dxa"/>
            <w:shd w:val="clear" w:color="auto" w:fill="auto"/>
          </w:tcPr>
          <w:p w14:paraId="11511A4E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230DFC05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Provision of a ready to feed UHT/sterile formulae.</w:t>
            </w:r>
          </w:p>
          <w:p w14:paraId="6F6ADFED" w14:textId="6A8A0B81" w:rsidR="0007455E" w:rsidRPr="00E74841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Equipment designed for re-use within manufacture</w:t>
            </w:r>
          </w:p>
        </w:tc>
        <w:tc>
          <w:tcPr>
            <w:tcW w:w="709" w:type="dxa"/>
            <w:shd w:val="clear" w:color="auto" w:fill="auto"/>
          </w:tcPr>
          <w:p w14:paraId="721D6CC6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DE2D48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1FF13FC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AE6A2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4DE29F52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 xml:space="preserve">Adherence to national food safety guidance. Consider a risk assessment of the food preparation area. Consider using food safety guidance recommended for weaning. Adherence to temperature control guidance of 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liquidised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 xml:space="preserve"> feed administered to meet infection control guidance. </w:t>
            </w:r>
          </w:p>
          <w:p w14:paraId="0A06E3A2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lastRenderedPageBreak/>
              <w:t xml:space="preserve">Discuss food safety guidance if the administration of defrosted food is considered. </w:t>
            </w:r>
          </w:p>
          <w:p w14:paraId="3B2B88E7" w14:textId="45578555" w:rsidR="0007455E" w:rsidRPr="007E3E10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Consider increased supply of extensions sets and single use enteral feeding syringes to reduce the risk of contamination.</w:t>
            </w:r>
          </w:p>
        </w:tc>
        <w:tc>
          <w:tcPr>
            <w:tcW w:w="1133" w:type="dxa"/>
            <w:shd w:val="clear" w:color="auto" w:fill="auto"/>
          </w:tcPr>
          <w:p w14:paraId="102FCFE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65A4BADB" w14:textId="77777777" w:rsidTr="002D1D45">
        <w:tc>
          <w:tcPr>
            <w:tcW w:w="3227" w:type="dxa"/>
            <w:shd w:val="clear" w:color="auto" w:fill="auto"/>
          </w:tcPr>
          <w:p w14:paraId="6115529C" w14:textId="6CF4CDC6" w:rsidR="0007455E" w:rsidRPr="0048344C" w:rsidRDefault="00915FF5" w:rsidP="0048344C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lastRenderedPageBreak/>
              <w:t>Infectious complications – Potentially Life Threatening. Food borne/ enteral feeding tube borne or stoma site infection.</w:t>
            </w:r>
          </w:p>
        </w:tc>
        <w:tc>
          <w:tcPr>
            <w:tcW w:w="1417" w:type="dxa"/>
            <w:shd w:val="clear" w:color="auto" w:fill="auto"/>
          </w:tcPr>
          <w:p w14:paraId="0A0F0B68" w14:textId="77777777" w:rsidR="0007455E" w:rsidRPr="00E060B7" w:rsidRDefault="0007455E" w:rsidP="00E060B7">
            <w:pPr>
              <w:pStyle w:val="ListParagrap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7E355B5C" w14:textId="55E9A0E9" w:rsidR="00E74841" w:rsidRPr="00E74841" w:rsidRDefault="00915FF5" w:rsidP="00915FF5">
            <w:pPr>
              <w:pStyle w:val="Header"/>
              <w:rPr>
                <w:rFonts w:cs="Arial"/>
                <w:szCs w:val="24"/>
              </w:rPr>
            </w:pPr>
            <w:r w:rsidRPr="00915FF5">
              <w:rPr>
                <w:rFonts w:cs="Arial"/>
                <w:szCs w:val="24"/>
              </w:rPr>
              <w:t>Monitoring of food hygiene practices. Monitoring of enteral feeding tube integrity and stoma site</w:t>
            </w:r>
          </w:p>
        </w:tc>
        <w:tc>
          <w:tcPr>
            <w:tcW w:w="709" w:type="dxa"/>
            <w:shd w:val="clear" w:color="auto" w:fill="auto"/>
          </w:tcPr>
          <w:p w14:paraId="5FFEDCAB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F647CE3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D17F877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BA3CB9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FD7B80B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 xml:space="preserve">Highlight the importance of good hygiene practice. Ensure patient/ 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carer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 xml:space="preserve"> has been trained and demonstrated competency to clean and manage enteral feeding tube and stoma site in line with local policy. </w:t>
            </w:r>
          </w:p>
          <w:p w14:paraId="41BC79A1" w14:textId="40E41901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>Refer to National Nurses Nutrition Group (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NNNG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 xml:space="preserve">) Good Practice Consensus Guideline on Exit Site Management for gastrostomy Tubes in Adults and Children. </w:t>
            </w:r>
            <w:hyperlink r:id="rId17" w:history="1">
              <w:r w:rsidRPr="0016403A">
                <w:rPr>
                  <w:rStyle w:val="Hyperlink"/>
                  <w:rFonts w:eastAsia="Calibri"/>
                  <w:szCs w:val="22"/>
                  <w:lang w:val="en-US"/>
                </w:rPr>
                <w:t>http://www.nnng.org.uk/wp-content/uploads/2013/10/Gastrostomy-Exit-site-guidelines-Final.pdf</w:t>
              </w:r>
            </w:hyperlink>
          </w:p>
          <w:p w14:paraId="7692E43C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</w:p>
          <w:p w14:paraId="7C4ACE53" w14:textId="77777777" w:rsidR="00915FF5" w:rsidRPr="00915FF5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 xml:space="preserve">Ensure adequate flushing to maintain patency of the enteral feeding tube as per local policy. </w:t>
            </w:r>
          </w:p>
          <w:p w14:paraId="55C54773" w14:textId="5CDA4228" w:rsidR="003626CE" w:rsidRPr="0007455E" w:rsidRDefault="00915FF5" w:rsidP="00915FF5">
            <w:pPr>
              <w:rPr>
                <w:rFonts w:eastAsia="Calibri"/>
                <w:szCs w:val="22"/>
                <w:lang w:val="en-US"/>
              </w:rPr>
            </w:pPr>
            <w:r w:rsidRPr="00915FF5">
              <w:rPr>
                <w:rFonts w:eastAsia="Calibri"/>
                <w:szCs w:val="22"/>
                <w:lang w:val="en-US"/>
              </w:rPr>
              <w:t xml:space="preserve">Educate patient on how to identify signs and symptoms of infection and agreed course of action in line with local policy and </w:t>
            </w:r>
            <w:proofErr w:type="spellStart"/>
            <w:r w:rsidRPr="00915FF5">
              <w:rPr>
                <w:rFonts w:eastAsia="Calibri"/>
                <w:szCs w:val="22"/>
                <w:lang w:val="en-US"/>
              </w:rPr>
              <w:t>NNNG</w:t>
            </w:r>
            <w:proofErr w:type="spellEnd"/>
            <w:r w:rsidRPr="00915FF5">
              <w:rPr>
                <w:rFonts w:eastAsia="Calibri"/>
                <w:szCs w:val="22"/>
                <w:lang w:val="en-US"/>
              </w:rPr>
              <w:t xml:space="preserve"> </w:t>
            </w:r>
            <w:r w:rsidRPr="00915FF5">
              <w:rPr>
                <w:rFonts w:eastAsia="Calibri"/>
                <w:szCs w:val="22"/>
                <w:lang w:val="en-US"/>
              </w:rPr>
              <w:lastRenderedPageBreak/>
              <w:t>guidance.</w:t>
            </w:r>
          </w:p>
        </w:tc>
        <w:tc>
          <w:tcPr>
            <w:tcW w:w="1133" w:type="dxa"/>
            <w:shd w:val="clear" w:color="auto" w:fill="auto"/>
          </w:tcPr>
          <w:p w14:paraId="0C52F59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77F22E92" w14:textId="77777777" w:rsidTr="007452AB">
        <w:tc>
          <w:tcPr>
            <w:tcW w:w="3227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379F09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46D67709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1D8A73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8"/>
      <w:footerReference w:type="default" r:id="rId19"/>
      <w:headerReference w:type="first" r:id="rId20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528A2" w14:textId="77777777" w:rsidR="008F1049" w:rsidRDefault="008F1049">
      <w:r>
        <w:separator/>
      </w:r>
    </w:p>
  </w:endnote>
  <w:endnote w:type="continuationSeparator" w:id="0">
    <w:p w14:paraId="5C4B5065" w14:textId="77777777" w:rsidR="008F1049" w:rsidRDefault="008F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B5F1" w14:textId="77777777" w:rsidR="008F1049" w:rsidRDefault="008F1049">
      <w:r>
        <w:separator/>
      </w:r>
    </w:p>
  </w:footnote>
  <w:footnote w:type="continuationSeparator" w:id="0">
    <w:p w14:paraId="27E7EFA1" w14:textId="77777777" w:rsidR="008F1049" w:rsidRDefault="008F1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16403A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005"/>
    <w:multiLevelType w:val="hybridMultilevel"/>
    <w:tmpl w:val="937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5E0E"/>
    <w:multiLevelType w:val="hybridMultilevel"/>
    <w:tmpl w:val="F650D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762D9"/>
    <w:multiLevelType w:val="hybridMultilevel"/>
    <w:tmpl w:val="CA940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D60FEC"/>
    <w:multiLevelType w:val="hybridMultilevel"/>
    <w:tmpl w:val="EF924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5">
    <w:nsid w:val="5C777EDE"/>
    <w:multiLevelType w:val="hybridMultilevel"/>
    <w:tmpl w:val="BA78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37987"/>
    <w:multiLevelType w:val="hybridMultilevel"/>
    <w:tmpl w:val="CB90C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F2E7E"/>
    <w:multiLevelType w:val="hybridMultilevel"/>
    <w:tmpl w:val="92542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433BE"/>
    <w:rsid w:val="00051057"/>
    <w:rsid w:val="0007455E"/>
    <w:rsid w:val="00082BFF"/>
    <w:rsid w:val="000A73C9"/>
    <w:rsid w:val="000B08A4"/>
    <w:rsid w:val="000F3B4F"/>
    <w:rsid w:val="000F6121"/>
    <w:rsid w:val="00101405"/>
    <w:rsid w:val="00101D55"/>
    <w:rsid w:val="00117C5D"/>
    <w:rsid w:val="00120D9F"/>
    <w:rsid w:val="00140CA4"/>
    <w:rsid w:val="0016403A"/>
    <w:rsid w:val="001669F8"/>
    <w:rsid w:val="00194829"/>
    <w:rsid w:val="001A309A"/>
    <w:rsid w:val="001C4F18"/>
    <w:rsid w:val="001F6A5C"/>
    <w:rsid w:val="002062B0"/>
    <w:rsid w:val="00241898"/>
    <w:rsid w:val="00265136"/>
    <w:rsid w:val="002B2C20"/>
    <w:rsid w:val="002C3F4B"/>
    <w:rsid w:val="002D05F4"/>
    <w:rsid w:val="002D1D45"/>
    <w:rsid w:val="00307454"/>
    <w:rsid w:val="00310644"/>
    <w:rsid w:val="00334AAB"/>
    <w:rsid w:val="0034570C"/>
    <w:rsid w:val="003626CE"/>
    <w:rsid w:val="003B0659"/>
    <w:rsid w:val="003E0F5D"/>
    <w:rsid w:val="003E1694"/>
    <w:rsid w:val="003F60EF"/>
    <w:rsid w:val="00403CB1"/>
    <w:rsid w:val="00407A8F"/>
    <w:rsid w:val="00410E96"/>
    <w:rsid w:val="004204B2"/>
    <w:rsid w:val="00425DF1"/>
    <w:rsid w:val="00442FE0"/>
    <w:rsid w:val="0048344C"/>
    <w:rsid w:val="004873EB"/>
    <w:rsid w:val="00490218"/>
    <w:rsid w:val="004E7A04"/>
    <w:rsid w:val="0050014E"/>
    <w:rsid w:val="00500FC5"/>
    <w:rsid w:val="00527F8C"/>
    <w:rsid w:val="00531466"/>
    <w:rsid w:val="00531AD8"/>
    <w:rsid w:val="0055332D"/>
    <w:rsid w:val="00573AB4"/>
    <w:rsid w:val="005C2D3A"/>
    <w:rsid w:val="005D41B0"/>
    <w:rsid w:val="005E1AC5"/>
    <w:rsid w:val="00610971"/>
    <w:rsid w:val="0061119D"/>
    <w:rsid w:val="00617766"/>
    <w:rsid w:val="00634DF1"/>
    <w:rsid w:val="006570E5"/>
    <w:rsid w:val="00691962"/>
    <w:rsid w:val="006D2302"/>
    <w:rsid w:val="006D6512"/>
    <w:rsid w:val="006E4496"/>
    <w:rsid w:val="006E5A60"/>
    <w:rsid w:val="007028FD"/>
    <w:rsid w:val="00703E42"/>
    <w:rsid w:val="00707C7F"/>
    <w:rsid w:val="007151B9"/>
    <w:rsid w:val="00733BD2"/>
    <w:rsid w:val="007452AB"/>
    <w:rsid w:val="00746982"/>
    <w:rsid w:val="00764E00"/>
    <w:rsid w:val="00771789"/>
    <w:rsid w:val="00777F49"/>
    <w:rsid w:val="007851F5"/>
    <w:rsid w:val="00795C36"/>
    <w:rsid w:val="007B5B6F"/>
    <w:rsid w:val="007C0FC1"/>
    <w:rsid w:val="007E51E2"/>
    <w:rsid w:val="007E6CEA"/>
    <w:rsid w:val="007F47DE"/>
    <w:rsid w:val="00891EEB"/>
    <w:rsid w:val="008C2224"/>
    <w:rsid w:val="008F1049"/>
    <w:rsid w:val="00905249"/>
    <w:rsid w:val="00915FF5"/>
    <w:rsid w:val="00916F56"/>
    <w:rsid w:val="009325CB"/>
    <w:rsid w:val="00941D4B"/>
    <w:rsid w:val="0096311C"/>
    <w:rsid w:val="009724B5"/>
    <w:rsid w:val="009A686C"/>
    <w:rsid w:val="009B5547"/>
    <w:rsid w:val="009D307F"/>
    <w:rsid w:val="00A12C54"/>
    <w:rsid w:val="00A12F64"/>
    <w:rsid w:val="00A4050B"/>
    <w:rsid w:val="00A50A46"/>
    <w:rsid w:val="00A81453"/>
    <w:rsid w:val="00A95971"/>
    <w:rsid w:val="00A97ACD"/>
    <w:rsid w:val="00AD0CE3"/>
    <w:rsid w:val="00AE4CEF"/>
    <w:rsid w:val="00B23331"/>
    <w:rsid w:val="00B32C0C"/>
    <w:rsid w:val="00B771C5"/>
    <w:rsid w:val="00B850A4"/>
    <w:rsid w:val="00BC01B0"/>
    <w:rsid w:val="00BF1BF6"/>
    <w:rsid w:val="00C17923"/>
    <w:rsid w:val="00C34D70"/>
    <w:rsid w:val="00C36FBD"/>
    <w:rsid w:val="00C6430D"/>
    <w:rsid w:val="00CB1585"/>
    <w:rsid w:val="00CC2951"/>
    <w:rsid w:val="00CD15F2"/>
    <w:rsid w:val="00D111C6"/>
    <w:rsid w:val="00D31B61"/>
    <w:rsid w:val="00D34B45"/>
    <w:rsid w:val="00D55796"/>
    <w:rsid w:val="00D832B6"/>
    <w:rsid w:val="00D85F47"/>
    <w:rsid w:val="00DA573E"/>
    <w:rsid w:val="00DA7E78"/>
    <w:rsid w:val="00DD1B1B"/>
    <w:rsid w:val="00DD5A56"/>
    <w:rsid w:val="00DE3A87"/>
    <w:rsid w:val="00DF1FB7"/>
    <w:rsid w:val="00E04A96"/>
    <w:rsid w:val="00E060B7"/>
    <w:rsid w:val="00E217B6"/>
    <w:rsid w:val="00E4681B"/>
    <w:rsid w:val="00E74841"/>
    <w:rsid w:val="00EA02E3"/>
    <w:rsid w:val="00EC1309"/>
    <w:rsid w:val="00F07F93"/>
    <w:rsid w:val="00F37670"/>
    <w:rsid w:val="00FC6367"/>
    <w:rsid w:val="00FD649C"/>
    <w:rsid w:val="00FE19A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  <w:style w:type="character" w:styleId="Hyperlink">
    <w:name w:val="Hyperlink"/>
    <w:basedOn w:val="DefaultParagraphFont"/>
    <w:rsid w:val="00915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  <w:style w:type="character" w:styleId="Hyperlink">
    <w:name w:val="Hyperlink"/>
    <w:basedOn w:val="DefaultParagraphFont"/>
    <w:rsid w:val="00915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nnng.org.uk/wp-content/uploads/2013/10/Gastrostomy-Exit-site-guidelines-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nng.org.uk/2014/05/enteral-plastic-safety-group-epsg-statemen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602FC5B-65D1-47BA-8AD4-66193B59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5463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2019-05-30T13:25:00Z</dcterms:created>
  <dcterms:modified xsi:type="dcterms:W3CDTF">2019-05-30T13:25:00Z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