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76028D90" w:rsidR="001E021C" w:rsidRPr="00B8589D" w:rsidRDefault="00124703">
            <w:pPr>
              <w:jc w:val="both"/>
              <w:rPr>
                <w:rFonts w:ascii="Arial" w:hAnsi="Arial"/>
                <w:b/>
                <w:sz w:val="24"/>
              </w:rPr>
            </w:pPr>
            <w:r>
              <w:rPr>
                <w:rFonts w:ascii="Arial" w:hAnsi="Arial"/>
                <w:b/>
                <w:sz w:val="24"/>
              </w:rPr>
              <w:t>JOHN ANTHONY JEFFREY</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rsidP="008849DC">
            <w:pPr>
              <w:jc w:val="center"/>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54C23E49" w:rsidR="00B52657" w:rsidRPr="009066E3" w:rsidRDefault="00124703">
            <w:pPr>
              <w:ind w:left="342"/>
              <w:jc w:val="both"/>
              <w:rPr>
                <w:rFonts w:ascii="Apple Color Emoji" w:hAnsi="Apple Color Emoji"/>
                <w:b/>
                <w:sz w:val="24"/>
              </w:rPr>
            </w:pPr>
            <w:r>
              <w:rPr>
                <w:rFonts w:ascii="Apple Color Emoji" w:hAnsi="Apple Color Emoji"/>
                <w:b/>
                <w:sz w:val="24"/>
              </w:rPr>
              <w:sym w:font="Wingdings" w:char="F0FC"/>
            </w: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1F4331D5" w:rsidR="00B52657" w:rsidRPr="006070EE" w:rsidRDefault="00B52657" w:rsidP="006070EE">
            <w:pPr>
              <w:jc w:val="center"/>
              <w:rPr>
                <w:rFonts w:ascii="Arial" w:hAnsi="Arial"/>
                <w:sz w:val="28"/>
                <w:szCs w:val="28"/>
              </w:rPr>
            </w:pP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06592B">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554F6743" w:rsidR="00B03CFA" w:rsidRPr="002628EF" w:rsidRDefault="00B03CFA" w:rsidP="00CA2AD8">
            <w:pPr>
              <w:rPr>
                <w:rFonts w:ascii="Arial" w:hAnsi="Arial"/>
                <w:b/>
                <w:sz w:val="24"/>
              </w:rPr>
            </w:pPr>
          </w:p>
        </w:tc>
      </w:tr>
      <w:tr w:rsidR="00B03CFA" w:rsidRPr="002628EF" w14:paraId="08575332" w14:textId="77777777" w:rsidTr="0006592B">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188D139C" w:rsidR="00B03CFA" w:rsidRPr="002628EF" w:rsidRDefault="00B03CFA" w:rsidP="00CA2AD8">
            <w:pPr>
              <w:rPr>
                <w:rFonts w:ascii="Arial" w:hAnsi="Arial"/>
                <w:b/>
                <w:sz w:val="24"/>
              </w:rPr>
            </w:pPr>
          </w:p>
        </w:tc>
      </w:tr>
      <w:tr w:rsidR="00B03CFA" w:rsidRPr="002628EF" w14:paraId="2D1D68E0" w14:textId="77777777" w:rsidTr="0006592B">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5E0CFF2D" w:rsidR="00B03CFA" w:rsidRPr="002628EF" w:rsidRDefault="00B03CFA" w:rsidP="00CA2AD8">
            <w:pPr>
              <w:rPr>
                <w:rFonts w:ascii="Arial" w:hAnsi="Arial"/>
                <w:b/>
                <w:sz w:val="24"/>
              </w:rPr>
            </w:pPr>
          </w:p>
        </w:tc>
      </w:tr>
      <w:tr w:rsidR="00B03CFA" w:rsidRPr="002628EF" w14:paraId="710973D3" w14:textId="77777777" w:rsidTr="0006592B">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7B0C866E" w:rsidR="00B03CFA" w:rsidRPr="002628EF" w:rsidRDefault="00B03CFA" w:rsidP="00CA2AD8">
            <w:pPr>
              <w:rPr>
                <w:rFonts w:ascii="Arial" w:hAnsi="Arial"/>
                <w:b/>
                <w:sz w:val="24"/>
              </w:rPr>
            </w:pPr>
          </w:p>
        </w:tc>
      </w:tr>
      <w:tr w:rsidR="00B03CFA" w:rsidRPr="002628EF" w14:paraId="68A12418" w14:textId="77777777" w:rsidTr="0006592B">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1FC237D3" w:rsidR="00B03CFA" w:rsidRPr="002628EF" w:rsidRDefault="00B03CFA" w:rsidP="00CA2AD8">
            <w:pPr>
              <w:rPr>
                <w:rFonts w:ascii="Arial" w:hAnsi="Arial"/>
                <w:b/>
                <w:sz w:val="24"/>
              </w:rPr>
            </w:pPr>
          </w:p>
        </w:tc>
      </w:tr>
      <w:tr w:rsidR="00B03CFA" w:rsidRPr="002628EF" w14:paraId="14EC92C8" w14:textId="77777777" w:rsidTr="0006592B">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CFDEFFD" w14:textId="20C14736" w:rsidR="00B03CFA" w:rsidRPr="002628EF" w:rsidRDefault="009261A8" w:rsidP="00CA2AD8">
            <w:pPr>
              <w:rPr>
                <w:rFonts w:ascii="Arial" w:hAnsi="Arial"/>
                <w:b/>
                <w:sz w:val="24"/>
              </w:rPr>
            </w:pPr>
            <w:r>
              <w:rPr>
                <w:rFonts w:ascii="Arial" w:hAnsi="Arial"/>
                <w:b/>
                <w:sz w:val="24"/>
              </w:rPr>
              <w:t xml:space="preserve">16 Manor </w:t>
            </w:r>
            <w:proofErr w:type="gramStart"/>
            <w:r>
              <w:rPr>
                <w:rFonts w:ascii="Arial" w:hAnsi="Arial"/>
                <w:b/>
                <w:sz w:val="24"/>
              </w:rPr>
              <w:t xml:space="preserve">Way,   </w:t>
            </w:r>
            <w:proofErr w:type="gramEnd"/>
            <w:r>
              <w:rPr>
                <w:rFonts w:ascii="Arial" w:hAnsi="Arial"/>
                <w:b/>
                <w:sz w:val="24"/>
              </w:rPr>
              <w:t>Todwick, Sheffield   S26 1HR</w:t>
            </w:r>
          </w:p>
        </w:tc>
      </w:tr>
      <w:tr w:rsidR="009E7166" w:rsidRPr="002628EF" w14:paraId="3ED60AE4" w14:textId="77777777" w:rsidTr="0006592B">
        <w:trPr>
          <w:trHeight w:val="652"/>
        </w:trPr>
        <w:tc>
          <w:tcPr>
            <w:tcW w:w="5107" w:type="dxa"/>
            <w:vMerge/>
            <w:shd w:val="clear" w:color="auto" w:fill="auto"/>
          </w:tcPr>
          <w:p w14:paraId="52C7BC46" w14:textId="77777777" w:rsidR="009E7166" w:rsidRPr="00193B0E" w:rsidRDefault="009E7166" w:rsidP="009E7166">
            <w:pPr>
              <w:pStyle w:val="AANumbered"/>
              <w:spacing w:before="60" w:after="60"/>
            </w:pPr>
          </w:p>
        </w:tc>
        <w:tc>
          <w:tcPr>
            <w:tcW w:w="2160" w:type="dxa"/>
            <w:shd w:val="clear" w:color="auto" w:fill="auto"/>
            <w:vAlign w:val="center"/>
          </w:tcPr>
          <w:p w14:paraId="538EBD6B" w14:textId="77777777" w:rsidR="009E7166" w:rsidRPr="002628EF" w:rsidRDefault="009E7166" w:rsidP="009E7166">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0CA6B4A0" w:rsidR="009E7166" w:rsidRPr="002628EF" w:rsidRDefault="009E7166" w:rsidP="009E7166">
            <w:pPr>
              <w:rPr>
                <w:rFonts w:ascii="Arial" w:hAnsi="Arial"/>
                <w:b/>
                <w:sz w:val="24"/>
              </w:rPr>
            </w:pPr>
          </w:p>
        </w:tc>
      </w:tr>
      <w:tr w:rsidR="00B03CFA" w:rsidRPr="002628EF" w14:paraId="3CE49B3B" w14:textId="77777777" w:rsidTr="0006592B">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2C9B6A23" w:rsidR="00B03CFA" w:rsidRPr="002628EF" w:rsidRDefault="00B03CFA" w:rsidP="00CA2AD8">
            <w:pPr>
              <w:rPr>
                <w:rFonts w:ascii="Arial" w:hAnsi="Arial"/>
                <w:b/>
                <w:sz w:val="24"/>
              </w:rPr>
            </w:pPr>
          </w:p>
        </w:tc>
      </w:tr>
      <w:tr w:rsidR="00B03CFA" w:rsidRPr="002628EF" w14:paraId="5D0B570C" w14:textId="77777777" w:rsidTr="0006592B">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49771CE9" w:rsidR="00B03CFA" w:rsidRPr="002628EF" w:rsidRDefault="00B03CFA" w:rsidP="00CA2AD8">
            <w:pPr>
              <w:rPr>
                <w:rFonts w:ascii="Arial" w:hAnsi="Arial"/>
                <w:b/>
                <w:sz w:val="24"/>
              </w:rPr>
            </w:pPr>
          </w:p>
        </w:tc>
      </w:tr>
      <w:tr w:rsidR="00B03CFA" w:rsidRPr="002628EF" w14:paraId="6E96DFD8" w14:textId="77777777" w:rsidTr="0006592B">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6F9717F9" w:rsidR="00B03CFA" w:rsidRPr="002628EF" w:rsidRDefault="00B03CFA" w:rsidP="00CA2AD8">
            <w:pPr>
              <w:rPr>
                <w:rFonts w:ascii="Arial" w:hAnsi="Arial"/>
                <w:b/>
                <w:sz w:val="24"/>
              </w:rPr>
            </w:pPr>
          </w:p>
        </w:tc>
      </w:tr>
      <w:tr w:rsidR="00B03CFA" w:rsidRPr="002628EF" w14:paraId="2F6441CA" w14:textId="77777777" w:rsidTr="0006592B">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44D82829" w:rsidR="00B03CFA" w:rsidRPr="002628EF" w:rsidRDefault="00B03CFA" w:rsidP="00CA2AD8">
            <w:pPr>
              <w:rPr>
                <w:rFonts w:ascii="Arial" w:hAnsi="Arial"/>
                <w:b/>
                <w:sz w:val="24"/>
              </w:rPr>
            </w:pPr>
          </w:p>
        </w:tc>
      </w:tr>
      <w:tr w:rsidR="00B03CFA" w:rsidRPr="002628EF" w14:paraId="18F1613E" w14:textId="77777777" w:rsidTr="0006592B">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w:t>
            </w:r>
            <w:proofErr w:type="spellStart"/>
            <w:r w:rsidRPr="00BB10D5">
              <w:t>i</w:t>
            </w:r>
            <w:proofErr w:type="spellEnd"/>
            <w:r w:rsidRPr="00BB10D5">
              <w:t>)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6769C96B" w:rsidR="00B03CFA" w:rsidRPr="002628EF" w:rsidRDefault="00B03CFA" w:rsidP="00CA2AD8">
            <w:pPr>
              <w:rPr>
                <w:rFonts w:ascii="Arial" w:hAnsi="Arial"/>
                <w:b/>
                <w:sz w:val="24"/>
              </w:rPr>
            </w:pPr>
          </w:p>
        </w:tc>
      </w:tr>
      <w:tr w:rsidR="00B03CFA" w:rsidRPr="002628EF" w14:paraId="16CFCB6A" w14:textId="77777777" w:rsidTr="0006592B">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6CA2694A" w:rsidR="00B03CFA" w:rsidRPr="002628EF" w:rsidRDefault="00B03CFA" w:rsidP="00CA2AD8">
            <w:pPr>
              <w:rPr>
                <w:rFonts w:ascii="Arial" w:hAnsi="Arial"/>
                <w:b/>
                <w:sz w:val="24"/>
              </w:rPr>
            </w:pPr>
          </w:p>
        </w:tc>
      </w:tr>
    </w:tbl>
    <w:p w14:paraId="3CBB5DFA" w14:textId="77777777" w:rsidR="00CA2AD8" w:rsidRDefault="00CA2AD8" w:rsidP="00C94632">
      <w:pPr>
        <w:rPr>
          <w:rFonts w:ascii="Arial" w:hAnsi="Arial"/>
          <w:b/>
          <w:sz w:val="24"/>
        </w:rPr>
      </w:pPr>
    </w:p>
    <w:p w14:paraId="7E93FC07" w14:textId="77777777" w:rsidR="0006592B" w:rsidRDefault="0006592B" w:rsidP="00C94632">
      <w:pPr>
        <w:rPr>
          <w:rFonts w:ascii="Arial" w:hAnsi="Arial"/>
          <w:b/>
          <w:sz w:val="24"/>
        </w:rPr>
      </w:pPr>
    </w:p>
    <w:p w14:paraId="7B1109B2" w14:textId="3074C1F1"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proofErr w:type="spellStart"/>
            <w:r w:rsidR="007656B6" w:rsidRPr="002628EF">
              <w:rPr>
                <w:rFonts w:ascii="Arial" w:hAnsi="Arial" w:cs="Arial"/>
                <w:sz w:val="24"/>
                <w:szCs w:val="24"/>
              </w:rPr>
              <w:t>Any body</w:t>
            </w:r>
            <w:proofErr w:type="spellEnd"/>
            <w:r w:rsidR="007656B6" w:rsidRPr="002628EF">
              <w:rPr>
                <w:rFonts w:ascii="Arial" w:hAnsi="Arial" w:cs="Arial"/>
                <w:sz w:val="24"/>
                <w:szCs w:val="24"/>
              </w:rPr>
              <w:t xml:space="preserve">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24004FA3" w:rsidR="008202D3" w:rsidRPr="002628EF" w:rsidRDefault="008202D3" w:rsidP="00B8589D">
            <w:pPr>
              <w:rPr>
                <w:rFonts w:ascii="Arial" w:hAnsi="Arial" w:cs="Arial"/>
                <w:b/>
                <w:sz w:val="24"/>
                <w:szCs w:val="24"/>
              </w:rPr>
            </w:pPr>
          </w:p>
        </w:tc>
      </w:tr>
      <w:tr w:rsidR="004607CA" w:rsidRPr="002628EF" w14:paraId="0B34EF60" w14:textId="77777777" w:rsidTr="009E7166">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6BFC5AB9" w14:textId="77777777" w:rsidR="009E7166" w:rsidRDefault="009E7166" w:rsidP="009E7166">
            <w:pPr>
              <w:pStyle w:val="ListParagraph"/>
              <w:rPr>
                <w:rFonts w:ascii="Arial" w:hAnsi="Arial" w:cs="Arial"/>
                <w:b/>
                <w:sz w:val="24"/>
                <w:szCs w:val="24"/>
              </w:rPr>
            </w:pPr>
          </w:p>
          <w:p w14:paraId="3D608174" w14:textId="77777777" w:rsidR="009E7166" w:rsidRPr="009E7166" w:rsidRDefault="009E7166" w:rsidP="009E7166">
            <w:pPr>
              <w:pStyle w:val="ListParagraph"/>
              <w:rPr>
                <w:rFonts w:ascii="Arial" w:hAnsi="Arial" w:cs="Arial"/>
                <w:b/>
                <w:sz w:val="16"/>
                <w:szCs w:val="16"/>
              </w:rPr>
            </w:pPr>
          </w:p>
          <w:p w14:paraId="159188AC" w14:textId="0CA74A5C" w:rsidR="003675A0" w:rsidRPr="000F4B26" w:rsidRDefault="003675A0" w:rsidP="000F4B26">
            <w:pPr>
              <w:rPr>
                <w:rFonts w:ascii="Arial" w:hAnsi="Arial" w:cs="Arial"/>
                <w:b/>
                <w:sz w:val="24"/>
                <w:szCs w:val="24"/>
              </w:rPr>
            </w:pP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6F6779F6" w:rsidR="00355150" w:rsidRPr="002628EF" w:rsidRDefault="00355150" w:rsidP="00B8589D">
            <w:pPr>
              <w:rPr>
                <w:rFonts w:ascii="Arial" w:hAnsi="Arial" w:cs="Arial"/>
                <w:b/>
                <w:sz w:val="24"/>
                <w:szCs w:val="24"/>
              </w:rPr>
            </w:pP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6A7A1AFC"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3675A0">
        <w:rPr>
          <w:rFonts w:ascii="Arial" w:hAnsi="Arial"/>
          <w:b/>
          <w:sz w:val="24"/>
        </w:rPr>
        <w:t xml:space="preserve">J </w:t>
      </w:r>
      <w:r w:rsidR="00124703">
        <w:rPr>
          <w:rFonts w:ascii="Arial" w:hAnsi="Arial"/>
          <w:b/>
          <w:sz w:val="24"/>
        </w:rPr>
        <w:t>A Jef</w:t>
      </w:r>
      <w:r w:rsidR="009261A8">
        <w:rPr>
          <w:rFonts w:ascii="Arial" w:hAnsi="Arial"/>
          <w:b/>
          <w:sz w:val="24"/>
        </w:rPr>
        <w:t>f</w:t>
      </w:r>
      <w:r w:rsidR="00124703">
        <w:rPr>
          <w:rFonts w:ascii="Arial" w:hAnsi="Arial"/>
          <w:b/>
          <w:sz w:val="24"/>
        </w:rPr>
        <w:t>rey</w:t>
      </w:r>
    </w:p>
    <w:p w14:paraId="193EBCD2" w14:textId="77777777" w:rsidR="00B52657" w:rsidRDefault="00B52657" w:rsidP="007E0F94">
      <w:pPr>
        <w:tabs>
          <w:tab w:val="left" w:pos="1440"/>
        </w:tabs>
        <w:rPr>
          <w:rFonts w:ascii="Arial" w:hAnsi="Arial"/>
          <w:b/>
          <w:sz w:val="24"/>
        </w:rPr>
      </w:pPr>
    </w:p>
    <w:p w14:paraId="16DE7465" w14:textId="0F50E70A"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124703">
        <w:rPr>
          <w:rFonts w:ascii="Arial" w:hAnsi="Arial"/>
          <w:b/>
          <w:sz w:val="24"/>
        </w:rPr>
        <w:t>JOHN ANTHONY JEFFREY</w:t>
      </w:r>
    </w:p>
    <w:p w14:paraId="55C7ACAF" w14:textId="77777777" w:rsidR="00B52657" w:rsidRDefault="00B52657" w:rsidP="007E0F94">
      <w:pPr>
        <w:tabs>
          <w:tab w:val="left" w:pos="1440"/>
        </w:tabs>
        <w:rPr>
          <w:rFonts w:ascii="Arial" w:hAnsi="Arial"/>
          <w:b/>
          <w:sz w:val="24"/>
        </w:rPr>
      </w:pPr>
    </w:p>
    <w:p w14:paraId="36A13C9A" w14:textId="631524A4"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3675A0">
        <w:rPr>
          <w:rFonts w:ascii="Arial" w:hAnsi="Arial"/>
          <w:b/>
          <w:sz w:val="24"/>
        </w:rPr>
        <w:t>17</w:t>
      </w:r>
      <w:r w:rsidR="003675A0" w:rsidRPr="003675A0">
        <w:rPr>
          <w:rFonts w:ascii="Arial" w:hAnsi="Arial"/>
          <w:b/>
          <w:sz w:val="24"/>
          <w:vertAlign w:val="superscript"/>
        </w:rPr>
        <w:t>th</w:t>
      </w:r>
      <w:r w:rsidR="003675A0">
        <w:rPr>
          <w:rFonts w:ascii="Arial" w:hAnsi="Arial"/>
          <w:b/>
          <w:sz w:val="24"/>
        </w:rPr>
        <w:t xml:space="preserve"> </w:t>
      </w:r>
      <w:proofErr w:type="gramStart"/>
      <w:r w:rsidR="003675A0">
        <w:rPr>
          <w:rFonts w:ascii="Arial" w:hAnsi="Arial"/>
          <w:b/>
          <w:sz w:val="24"/>
        </w:rPr>
        <w:t>June,</w:t>
      </w:r>
      <w:proofErr w:type="gramEnd"/>
      <w:r w:rsidR="003675A0">
        <w:rPr>
          <w:rFonts w:ascii="Arial" w:hAnsi="Arial"/>
          <w:b/>
          <w:sz w:val="24"/>
        </w:rPr>
        <w:t xml:space="preserve">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AF47" w14:textId="62B3E734" w:rsidR="006070EE" w:rsidRPr="00752525" w:rsidRDefault="00B16EEE" w:rsidP="00F84A4D">
    <w:pPr>
      <w:pStyle w:val="Header"/>
      <w:rPr>
        <w:rFonts w:ascii="Arial" w:hAnsi="Arial" w:cs="Arial"/>
        <w:b/>
        <w:sz w:val="32"/>
        <w:szCs w:val="32"/>
      </w:rPr>
    </w:pPr>
    <w:r>
      <w:rPr>
        <w:rFonts w:ascii="Arial" w:hAnsi="Arial" w:cs="Arial"/>
        <w:b/>
        <w:sz w:val="32"/>
        <w:szCs w:val="32"/>
      </w:rPr>
      <w:t>TODWICK</w:t>
    </w:r>
    <w:r w:rsidR="006070EE">
      <w:rPr>
        <w:rFonts w:ascii="Arial" w:hAnsi="Arial" w:cs="Arial"/>
        <w:b/>
        <w:sz w:val="32"/>
        <w:szCs w:val="32"/>
      </w:rPr>
      <w:t xml:space="preserve"> PARISH COUNCIL</w:t>
    </w:r>
  </w:p>
  <w:p w14:paraId="2E1524CA" w14:textId="77777777" w:rsidR="006070EE" w:rsidRDefault="006070EE" w:rsidP="00752525">
    <w:pPr>
      <w:pStyle w:val="Header"/>
      <w:rPr>
        <w:rFonts w:ascii="Arial" w:hAnsi="Arial" w:cs="Arial"/>
        <w:b/>
        <w:sz w:val="32"/>
        <w:szCs w:val="32"/>
      </w:rPr>
    </w:pPr>
  </w:p>
  <w:p w14:paraId="7C3125BB" w14:textId="75F3B921"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w:t>
    </w:r>
    <w:r w:rsidR="000F4B26">
      <w:rPr>
        <w:rFonts w:ascii="Arial" w:hAnsi="Arial" w:cs="Arial"/>
        <w:b/>
        <w:sz w:val="32"/>
        <w:szCs w:val="3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AEB6" w14:textId="005A1AB8" w:rsidR="006070EE" w:rsidRDefault="00B16EEE">
    <w:pPr>
      <w:pStyle w:val="Header"/>
      <w:rPr>
        <w:rFonts w:ascii="Arial" w:hAnsi="Arial" w:cs="Arial"/>
        <w:b/>
        <w:sz w:val="32"/>
        <w:szCs w:val="32"/>
      </w:rPr>
    </w:pPr>
    <w:r>
      <w:rPr>
        <w:rFonts w:ascii="Arial" w:hAnsi="Arial" w:cs="Arial"/>
        <w:b/>
        <w:sz w:val="32"/>
        <w:szCs w:val="32"/>
      </w:rPr>
      <w:t>TODWICK</w:t>
    </w:r>
    <w:r w:rsidR="006070EE">
      <w:rPr>
        <w:rFonts w:ascii="Arial" w:hAnsi="Arial" w:cs="Arial"/>
        <w:b/>
        <w:sz w:val="32"/>
        <w:szCs w:val="32"/>
      </w:rPr>
      <w:t xml:space="preserve"> PARISH COUNCIL</w:t>
    </w:r>
  </w:p>
  <w:p w14:paraId="4B855479" w14:textId="77777777" w:rsidR="000F4B26" w:rsidRPr="00752525" w:rsidRDefault="000F4B26">
    <w:pPr>
      <w:pStyle w:val="Header"/>
      <w:rPr>
        <w:rFonts w:ascii="Arial" w:hAnsi="Arial" w:cs="Arial"/>
        <w:b/>
        <w:sz w:val="32"/>
        <w:szCs w:val="32"/>
      </w:rPr>
    </w:pPr>
  </w:p>
  <w:p w14:paraId="48214998" w14:textId="0151DC5E" w:rsidR="006070EE" w:rsidRPr="00752525" w:rsidRDefault="006070EE">
    <w:pPr>
      <w:pStyle w:val="Header"/>
      <w:rPr>
        <w:rFonts w:ascii="Arial" w:hAnsi="Arial" w:cs="Arial"/>
        <w:b/>
        <w:sz w:val="32"/>
        <w:szCs w:val="32"/>
      </w:rPr>
    </w:pPr>
    <w:r w:rsidRPr="00752525">
      <w:rPr>
        <w:rFonts w:ascii="Arial" w:hAnsi="Arial" w:cs="Arial"/>
        <w:b/>
        <w:sz w:val="32"/>
        <w:szCs w:val="32"/>
      </w:rPr>
      <w:t>REGISTE</w:t>
    </w:r>
    <w:r w:rsidR="000F4B26">
      <w:rPr>
        <w:rFonts w:ascii="Arial" w:hAnsi="Arial" w:cs="Arial"/>
        <w:b/>
        <w:sz w:val="32"/>
        <w:szCs w:val="32"/>
      </w:rPr>
      <w:t>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E6E06"/>
    <w:multiLevelType w:val="hybridMultilevel"/>
    <w:tmpl w:val="776839F2"/>
    <w:lvl w:ilvl="0" w:tplc="71D43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8"/>
  </w:num>
  <w:num w:numId="2" w16cid:durableId="1327973049">
    <w:abstractNumId w:val="6"/>
  </w:num>
  <w:num w:numId="3" w16cid:durableId="41633195">
    <w:abstractNumId w:val="5"/>
  </w:num>
  <w:num w:numId="4" w16cid:durableId="2046559695">
    <w:abstractNumId w:val="9"/>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 w:numId="10" w16cid:durableId="43811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0F4B26"/>
    <w:rsid w:val="00124703"/>
    <w:rsid w:val="00127F4D"/>
    <w:rsid w:val="00131DA7"/>
    <w:rsid w:val="00136B79"/>
    <w:rsid w:val="00177929"/>
    <w:rsid w:val="00187EAF"/>
    <w:rsid w:val="001941FE"/>
    <w:rsid w:val="001A22C4"/>
    <w:rsid w:val="001B79AE"/>
    <w:rsid w:val="001B7A07"/>
    <w:rsid w:val="001E021C"/>
    <w:rsid w:val="00227AAF"/>
    <w:rsid w:val="00242103"/>
    <w:rsid w:val="00245820"/>
    <w:rsid w:val="00256EA2"/>
    <w:rsid w:val="002628EF"/>
    <w:rsid w:val="002841ED"/>
    <w:rsid w:val="002A4EC1"/>
    <w:rsid w:val="00322480"/>
    <w:rsid w:val="00333007"/>
    <w:rsid w:val="00355150"/>
    <w:rsid w:val="003675A0"/>
    <w:rsid w:val="00382313"/>
    <w:rsid w:val="00383AAD"/>
    <w:rsid w:val="003A199D"/>
    <w:rsid w:val="003B2C75"/>
    <w:rsid w:val="00405407"/>
    <w:rsid w:val="0041246F"/>
    <w:rsid w:val="00430A77"/>
    <w:rsid w:val="00443A7F"/>
    <w:rsid w:val="004607CA"/>
    <w:rsid w:val="004751EA"/>
    <w:rsid w:val="004C1659"/>
    <w:rsid w:val="004C64FE"/>
    <w:rsid w:val="004D304F"/>
    <w:rsid w:val="00507CD5"/>
    <w:rsid w:val="005F28E5"/>
    <w:rsid w:val="006070EE"/>
    <w:rsid w:val="00632B64"/>
    <w:rsid w:val="00647176"/>
    <w:rsid w:val="006565F7"/>
    <w:rsid w:val="00692993"/>
    <w:rsid w:val="006A2913"/>
    <w:rsid w:val="006E7BB8"/>
    <w:rsid w:val="00726E9E"/>
    <w:rsid w:val="00752525"/>
    <w:rsid w:val="00757335"/>
    <w:rsid w:val="007656B6"/>
    <w:rsid w:val="007E05B8"/>
    <w:rsid w:val="007E0F94"/>
    <w:rsid w:val="00802D7F"/>
    <w:rsid w:val="008202D3"/>
    <w:rsid w:val="00820353"/>
    <w:rsid w:val="00841F75"/>
    <w:rsid w:val="0086424B"/>
    <w:rsid w:val="0087000D"/>
    <w:rsid w:val="008849DC"/>
    <w:rsid w:val="00891CF7"/>
    <w:rsid w:val="008C6584"/>
    <w:rsid w:val="008F37F5"/>
    <w:rsid w:val="009066E3"/>
    <w:rsid w:val="009261A8"/>
    <w:rsid w:val="009318DE"/>
    <w:rsid w:val="009A4E6E"/>
    <w:rsid w:val="009E7166"/>
    <w:rsid w:val="009F4425"/>
    <w:rsid w:val="00A40BFC"/>
    <w:rsid w:val="00A45CF2"/>
    <w:rsid w:val="00A8520D"/>
    <w:rsid w:val="00AA414E"/>
    <w:rsid w:val="00AE4D4B"/>
    <w:rsid w:val="00AF246F"/>
    <w:rsid w:val="00B03CFA"/>
    <w:rsid w:val="00B16EEE"/>
    <w:rsid w:val="00B52657"/>
    <w:rsid w:val="00B577C7"/>
    <w:rsid w:val="00B8589D"/>
    <w:rsid w:val="00BB10D5"/>
    <w:rsid w:val="00C331C5"/>
    <w:rsid w:val="00C47F65"/>
    <w:rsid w:val="00C708FA"/>
    <w:rsid w:val="00C72C73"/>
    <w:rsid w:val="00C94632"/>
    <w:rsid w:val="00CA2AD8"/>
    <w:rsid w:val="00CC1BCA"/>
    <w:rsid w:val="00CC3CE7"/>
    <w:rsid w:val="00CE019E"/>
    <w:rsid w:val="00CE7C3A"/>
    <w:rsid w:val="00D25EAA"/>
    <w:rsid w:val="00D44D18"/>
    <w:rsid w:val="00D53FDF"/>
    <w:rsid w:val="00D576EE"/>
    <w:rsid w:val="00D75478"/>
    <w:rsid w:val="00D97591"/>
    <w:rsid w:val="00DD4B54"/>
    <w:rsid w:val="00DD4DE5"/>
    <w:rsid w:val="00DD51CB"/>
    <w:rsid w:val="00DD5FDA"/>
    <w:rsid w:val="00E14D36"/>
    <w:rsid w:val="00E3793E"/>
    <w:rsid w:val="00E41D71"/>
    <w:rsid w:val="00E42B48"/>
    <w:rsid w:val="00E47AC6"/>
    <w:rsid w:val="00E5624A"/>
    <w:rsid w:val="00E6743E"/>
    <w:rsid w:val="00E9755D"/>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ListParagraph">
    <w:name w:val="List Paragraph"/>
    <w:basedOn w:val="Normal"/>
    <w:uiPriority w:val="34"/>
    <w:qFormat/>
    <w:rsid w:val="009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3</TotalTime>
  <Pages>3</Pages>
  <Words>811</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4</cp:revision>
  <cp:lastPrinted>2012-07-20T10:25:00Z</cp:lastPrinted>
  <dcterms:created xsi:type="dcterms:W3CDTF">2024-11-29T11:15:00Z</dcterms:created>
  <dcterms:modified xsi:type="dcterms:W3CDTF">2024-12-05T10:19:00Z</dcterms:modified>
</cp:coreProperties>
</file>