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A0CD2" w14:textId="779E7D20" w:rsidR="0081789E" w:rsidRPr="00B67D0B" w:rsidRDefault="00B67D0B" w:rsidP="0081789E">
      <w:pPr>
        <w:rPr>
          <w:rFonts w:cstheme="minorHAnsi"/>
          <w:sz w:val="24"/>
          <w:szCs w:val="24"/>
        </w:rPr>
      </w:pPr>
      <w:r>
        <w:rPr>
          <w:noProof/>
        </w:rPr>
        <w:drawing>
          <wp:inline distT="0" distB="0" distL="0" distR="0" wp14:anchorId="16333594" wp14:editId="17E4FE00">
            <wp:extent cx="1766675" cy="660400"/>
            <wp:effectExtent l="0" t="0" r="508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73852" cy="663083"/>
                    </a:xfrm>
                    <a:prstGeom prst="rect">
                      <a:avLst/>
                    </a:prstGeom>
                  </pic:spPr>
                </pic:pic>
              </a:graphicData>
            </a:graphic>
          </wp:inline>
        </w:drawing>
      </w:r>
    </w:p>
    <w:p w14:paraId="7DFA8AE9" w14:textId="77777777" w:rsidR="0081789E" w:rsidRPr="00B67D0B" w:rsidRDefault="0081789E" w:rsidP="0081789E">
      <w:pPr>
        <w:rPr>
          <w:rFonts w:cstheme="minorHAnsi"/>
          <w:sz w:val="24"/>
          <w:szCs w:val="24"/>
        </w:rPr>
      </w:pPr>
    </w:p>
    <w:p w14:paraId="0FAFF672" w14:textId="77777777" w:rsidR="0081789E" w:rsidRPr="00B67D0B" w:rsidRDefault="0081789E" w:rsidP="0081789E">
      <w:pPr>
        <w:rPr>
          <w:rFonts w:cstheme="minorHAnsi"/>
          <w:sz w:val="24"/>
          <w:szCs w:val="24"/>
        </w:rPr>
      </w:pPr>
    </w:p>
    <w:p w14:paraId="6C8E392B" w14:textId="77777777" w:rsidR="0081789E" w:rsidRPr="00B67D0B" w:rsidRDefault="0081789E" w:rsidP="0081789E">
      <w:pPr>
        <w:rPr>
          <w:rFonts w:cstheme="minorHAnsi"/>
          <w:sz w:val="24"/>
          <w:szCs w:val="24"/>
        </w:rPr>
      </w:pPr>
    </w:p>
    <w:p w14:paraId="27342AF2" w14:textId="77777777" w:rsidR="0081789E" w:rsidRPr="00B67D0B" w:rsidRDefault="0081789E" w:rsidP="0081789E">
      <w:pPr>
        <w:rPr>
          <w:rFonts w:cstheme="minorHAnsi"/>
          <w:sz w:val="24"/>
          <w:szCs w:val="24"/>
        </w:rPr>
      </w:pPr>
    </w:p>
    <w:p w14:paraId="1760575D" w14:textId="77777777" w:rsidR="0081789E" w:rsidRPr="00B67D0B" w:rsidRDefault="0081789E" w:rsidP="0081789E">
      <w:pPr>
        <w:rPr>
          <w:rFonts w:cstheme="minorHAnsi"/>
          <w:sz w:val="24"/>
          <w:szCs w:val="24"/>
        </w:rPr>
      </w:pPr>
    </w:p>
    <w:p w14:paraId="66044F45" w14:textId="77777777" w:rsidR="0081789E" w:rsidRPr="00B67D0B" w:rsidRDefault="0081789E" w:rsidP="0081789E">
      <w:pPr>
        <w:rPr>
          <w:rFonts w:cstheme="minorHAnsi"/>
          <w:sz w:val="24"/>
          <w:szCs w:val="24"/>
        </w:rPr>
      </w:pPr>
    </w:p>
    <w:p w14:paraId="4E61E4A7" w14:textId="77777777" w:rsidR="0081789E" w:rsidRPr="00B67D0B" w:rsidRDefault="0081789E" w:rsidP="0081789E">
      <w:pPr>
        <w:rPr>
          <w:rFonts w:cstheme="minorHAnsi"/>
          <w:sz w:val="24"/>
          <w:szCs w:val="24"/>
        </w:rPr>
      </w:pPr>
    </w:p>
    <w:p w14:paraId="1C8DCBAA" w14:textId="1B8FD2B5" w:rsidR="0081789E" w:rsidRPr="00B67D0B" w:rsidRDefault="0081789E" w:rsidP="00BF4CD6">
      <w:pPr>
        <w:jc w:val="center"/>
        <w:rPr>
          <w:rFonts w:cstheme="minorHAnsi"/>
          <w:sz w:val="44"/>
          <w:szCs w:val="44"/>
        </w:rPr>
      </w:pPr>
      <w:r w:rsidRPr="00B67D0B">
        <w:rPr>
          <w:rFonts w:cstheme="minorHAnsi"/>
          <w:sz w:val="44"/>
          <w:szCs w:val="44"/>
        </w:rPr>
        <w:t xml:space="preserve">Housing – </w:t>
      </w:r>
      <w:r w:rsidR="008772DB" w:rsidRPr="004D7B87">
        <w:rPr>
          <w:rFonts w:cstheme="minorHAnsi"/>
          <w:sz w:val="44"/>
          <w:szCs w:val="44"/>
        </w:rPr>
        <w:t>Income Pre-Tenancy</w:t>
      </w:r>
      <w:r w:rsidR="00BF4CD6" w:rsidRPr="004D7B87">
        <w:rPr>
          <w:rFonts w:cstheme="minorHAnsi"/>
          <w:sz w:val="44"/>
          <w:szCs w:val="44"/>
        </w:rPr>
        <w:t xml:space="preserve"> </w:t>
      </w:r>
      <w:r w:rsidR="00A95D1B" w:rsidRPr="004D7B87">
        <w:rPr>
          <w:rFonts w:cstheme="minorHAnsi"/>
          <w:sz w:val="44"/>
          <w:szCs w:val="44"/>
        </w:rPr>
        <w:t>Framework</w:t>
      </w:r>
    </w:p>
    <w:p w14:paraId="06CAE8F1" w14:textId="77777777" w:rsidR="0081789E" w:rsidRPr="00B67D0B" w:rsidRDefault="0081789E" w:rsidP="0081789E">
      <w:pPr>
        <w:jc w:val="center"/>
        <w:rPr>
          <w:rFonts w:cstheme="minorHAnsi"/>
          <w:sz w:val="24"/>
          <w:szCs w:val="24"/>
        </w:rPr>
      </w:pPr>
    </w:p>
    <w:p w14:paraId="31571129" w14:textId="77777777" w:rsidR="0081789E" w:rsidRPr="00B67D0B" w:rsidRDefault="0081789E" w:rsidP="0081789E">
      <w:pPr>
        <w:jc w:val="center"/>
        <w:rPr>
          <w:rFonts w:cstheme="minorHAnsi"/>
          <w:sz w:val="24"/>
          <w:szCs w:val="24"/>
        </w:rPr>
      </w:pPr>
    </w:p>
    <w:p w14:paraId="743A20CB" w14:textId="77777777" w:rsidR="0081789E" w:rsidRPr="00B67D0B" w:rsidRDefault="0081789E" w:rsidP="0081789E">
      <w:pPr>
        <w:jc w:val="center"/>
        <w:rPr>
          <w:rFonts w:cstheme="minorHAnsi"/>
          <w:sz w:val="24"/>
          <w:szCs w:val="24"/>
        </w:rPr>
      </w:pPr>
    </w:p>
    <w:p w14:paraId="7508EFD9" w14:textId="77777777" w:rsidR="0081789E" w:rsidRPr="00B67D0B" w:rsidRDefault="0081789E" w:rsidP="0081789E">
      <w:pPr>
        <w:jc w:val="center"/>
        <w:rPr>
          <w:rFonts w:cstheme="minorHAnsi"/>
          <w:sz w:val="24"/>
          <w:szCs w:val="24"/>
        </w:rPr>
      </w:pPr>
    </w:p>
    <w:p w14:paraId="72E64B72" w14:textId="77777777" w:rsidR="0081789E" w:rsidRPr="00B67D0B" w:rsidRDefault="0081789E" w:rsidP="0081789E">
      <w:pPr>
        <w:jc w:val="center"/>
        <w:rPr>
          <w:rFonts w:cstheme="minorHAnsi"/>
          <w:sz w:val="24"/>
          <w:szCs w:val="24"/>
        </w:rPr>
      </w:pPr>
    </w:p>
    <w:p w14:paraId="07E938BF" w14:textId="77777777" w:rsidR="0081789E" w:rsidRPr="00B67D0B" w:rsidRDefault="0081789E" w:rsidP="0081789E">
      <w:pPr>
        <w:jc w:val="center"/>
        <w:rPr>
          <w:rFonts w:cstheme="minorHAnsi"/>
          <w:sz w:val="24"/>
          <w:szCs w:val="24"/>
        </w:rPr>
      </w:pPr>
    </w:p>
    <w:p w14:paraId="1932B342" w14:textId="77777777" w:rsidR="0081789E" w:rsidRPr="00B67D0B" w:rsidRDefault="0081789E" w:rsidP="0081789E">
      <w:pPr>
        <w:jc w:val="center"/>
        <w:rPr>
          <w:rFonts w:cstheme="minorHAnsi"/>
          <w:sz w:val="24"/>
          <w:szCs w:val="24"/>
        </w:rPr>
      </w:pPr>
    </w:p>
    <w:p w14:paraId="4913A379" w14:textId="77777777" w:rsidR="0081789E" w:rsidRPr="00B67D0B" w:rsidRDefault="0081789E" w:rsidP="0081789E">
      <w:pPr>
        <w:jc w:val="center"/>
        <w:rPr>
          <w:rFonts w:cstheme="minorHAnsi"/>
          <w:sz w:val="24"/>
          <w:szCs w:val="24"/>
        </w:rPr>
      </w:pPr>
    </w:p>
    <w:p w14:paraId="11733127" w14:textId="77777777" w:rsidR="0081789E" w:rsidRPr="00B67D0B" w:rsidRDefault="0081789E" w:rsidP="0081789E">
      <w:pPr>
        <w:spacing w:after="0" w:line="240" w:lineRule="auto"/>
        <w:jc w:val="center"/>
        <w:rPr>
          <w:rFonts w:eastAsia="Times New Roman" w:cstheme="minorHAnsi"/>
          <w:b/>
          <w:sz w:val="24"/>
          <w:szCs w:val="24"/>
          <w:lang w:eastAsia="en-GB"/>
        </w:rPr>
      </w:pPr>
    </w:p>
    <w:p w14:paraId="0B3150A1" w14:textId="77777777" w:rsidR="0081789E" w:rsidRPr="00B67D0B" w:rsidRDefault="0081789E" w:rsidP="0081789E">
      <w:pPr>
        <w:spacing w:after="0" w:line="240" w:lineRule="auto"/>
        <w:jc w:val="center"/>
        <w:rPr>
          <w:rFonts w:eastAsia="Times New Roman" w:cstheme="minorHAnsi"/>
          <w:b/>
          <w:sz w:val="24"/>
          <w:szCs w:val="24"/>
          <w:lang w:eastAsia="en-GB"/>
        </w:rPr>
      </w:pPr>
    </w:p>
    <w:p w14:paraId="7DEEF173" w14:textId="77777777" w:rsidR="0081789E" w:rsidRPr="00B67D0B" w:rsidRDefault="0081789E" w:rsidP="0081789E">
      <w:pPr>
        <w:spacing w:after="0" w:line="240" w:lineRule="auto"/>
        <w:jc w:val="center"/>
        <w:rPr>
          <w:rFonts w:eastAsia="Times New Roman" w:cstheme="minorHAnsi"/>
          <w:b/>
          <w:sz w:val="24"/>
          <w:szCs w:val="24"/>
          <w:lang w:eastAsia="en-GB"/>
        </w:rPr>
      </w:pPr>
    </w:p>
    <w:p w14:paraId="52B1B51F" w14:textId="77777777" w:rsidR="0081789E" w:rsidRPr="00B67D0B" w:rsidRDefault="0081789E" w:rsidP="0081789E">
      <w:pPr>
        <w:spacing w:after="0" w:line="240" w:lineRule="auto"/>
        <w:jc w:val="center"/>
        <w:rPr>
          <w:rFonts w:eastAsia="Times New Roman" w:cstheme="minorHAnsi"/>
          <w:b/>
          <w:sz w:val="24"/>
          <w:szCs w:val="24"/>
          <w:lang w:eastAsia="en-GB"/>
        </w:rPr>
      </w:pPr>
    </w:p>
    <w:p w14:paraId="067E5948" w14:textId="77777777" w:rsidR="0081789E" w:rsidRPr="00B67D0B" w:rsidRDefault="0081789E" w:rsidP="0081789E">
      <w:pPr>
        <w:spacing w:after="0" w:line="240" w:lineRule="auto"/>
        <w:jc w:val="center"/>
        <w:rPr>
          <w:rFonts w:eastAsia="Times New Roman" w:cstheme="minorHAnsi"/>
          <w:b/>
          <w:sz w:val="24"/>
          <w:szCs w:val="24"/>
          <w:lang w:eastAsia="en-GB"/>
        </w:rPr>
      </w:pPr>
    </w:p>
    <w:tbl>
      <w:tblPr>
        <w:tblpPr w:leftFromText="180" w:rightFromText="180" w:vertAnchor="text" w:horzAnchor="margin" w:tblpX="108" w:tblpY="2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3"/>
        <w:gridCol w:w="4261"/>
      </w:tblGrid>
      <w:tr w:rsidR="0081789E" w:rsidRPr="00B67D0B" w14:paraId="7A50103C" w14:textId="77777777" w:rsidTr="004B1D78">
        <w:tc>
          <w:tcPr>
            <w:tcW w:w="4153" w:type="dxa"/>
            <w:shd w:val="clear" w:color="auto" w:fill="auto"/>
          </w:tcPr>
          <w:p w14:paraId="3833CBAA" w14:textId="1D629C6E" w:rsidR="0081789E" w:rsidRPr="00B67D0B" w:rsidRDefault="0081789E" w:rsidP="004B1D78">
            <w:pPr>
              <w:spacing w:after="0" w:line="240" w:lineRule="auto"/>
              <w:rPr>
                <w:rFonts w:eastAsia="Times New Roman" w:cstheme="minorHAnsi"/>
                <w:sz w:val="24"/>
                <w:szCs w:val="24"/>
                <w:lang w:eastAsia="en-GB"/>
              </w:rPr>
            </w:pPr>
            <w:r w:rsidRPr="00B67D0B">
              <w:rPr>
                <w:rFonts w:eastAsia="Times New Roman" w:cstheme="minorHAnsi"/>
                <w:sz w:val="24"/>
                <w:szCs w:val="24"/>
                <w:lang w:eastAsia="en-GB"/>
              </w:rPr>
              <w:t xml:space="preserve">Version: </w:t>
            </w:r>
            <w:r w:rsidR="008A0523" w:rsidRPr="00B67D0B">
              <w:rPr>
                <w:rFonts w:eastAsia="Times New Roman" w:cstheme="minorHAnsi"/>
                <w:sz w:val="24"/>
                <w:szCs w:val="24"/>
                <w:lang w:eastAsia="en-GB"/>
              </w:rPr>
              <w:t>2</w:t>
            </w:r>
          </w:p>
        </w:tc>
        <w:tc>
          <w:tcPr>
            <w:tcW w:w="4261" w:type="dxa"/>
            <w:shd w:val="clear" w:color="auto" w:fill="auto"/>
          </w:tcPr>
          <w:p w14:paraId="36190E8D" w14:textId="6D280FFA" w:rsidR="0081789E" w:rsidRPr="00B67D0B" w:rsidRDefault="0081789E" w:rsidP="004B1D78">
            <w:pPr>
              <w:spacing w:after="0" w:line="240" w:lineRule="auto"/>
              <w:rPr>
                <w:rFonts w:eastAsia="Times New Roman" w:cstheme="minorHAnsi"/>
                <w:sz w:val="24"/>
                <w:szCs w:val="24"/>
                <w:lang w:eastAsia="en-GB"/>
              </w:rPr>
            </w:pPr>
            <w:r w:rsidRPr="00B67D0B">
              <w:rPr>
                <w:rFonts w:eastAsia="Times New Roman" w:cstheme="minorHAnsi"/>
                <w:sz w:val="24"/>
                <w:szCs w:val="24"/>
                <w:lang w:eastAsia="en-GB"/>
              </w:rPr>
              <w:t xml:space="preserve">Issue date: </w:t>
            </w:r>
            <w:r w:rsidR="002E036D" w:rsidRPr="00B67D0B">
              <w:rPr>
                <w:rFonts w:eastAsia="Times New Roman" w:cstheme="minorHAnsi"/>
                <w:sz w:val="24"/>
                <w:szCs w:val="24"/>
                <w:lang w:eastAsia="en-GB"/>
              </w:rPr>
              <w:t xml:space="preserve">April </w:t>
            </w:r>
            <w:r w:rsidR="001D7D70">
              <w:rPr>
                <w:rFonts w:eastAsia="Times New Roman" w:cstheme="minorHAnsi"/>
                <w:sz w:val="24"/>
                <w:szCs w:val="24"/>
                <w:lang w:eastAsia="en-GB"/>
              </w:rPr>
              <w:t>2024</w:t>
            </w:r>
          </w:p>
        </w:tc>
      </w:tr>
      <w:tr w:rsidR="0081789E" w:rsidRPr="00B67D0B" w14:paraId="72FD7EA0" w14:textId="77777777" w:rsidTr="004B1D78">
        <w:tc>
          <w:tcPr>
            <w:tcW w:w="4153" w:type="dxa"/>
            <w:shd w:val="clear" w:color="auto" w:fill="auto"/>
          </w:tcPr>
          <w:p w14:paraId="6C8BC5E8" w14:textId="4256CB94" w:rsidR="0081789E" w:rsidRPr="00B67D0B" w:rsidRDefault="0081789E" w:rsidP="004B1D78">
            <w:pPr>
              <w:spacing w:after="0" w:line="240" w:lineRule="auto"/>
              <w:rPr>
                <w:rFonts w:eastAsia="Times New Roman" w:cstheme="minorHAnsi"/>
                <w:sz w:val="24"/>
                <w:szCs w:val="24"/>
                <w:lang w:eastAsia="en-GB"/>
              </w:rPr>
            </w:pPr>
            <w:r w:rsidRPr="00B67D0B">
              <w:rPr>
                <w:rFonts w:eastAsia="Times New Roman" w:cstheme="minorHAnsi"/>
                <w:sz w:val="24"/>
                <w:szCs w:val="24"/>
                <w:lang w:eastAsia="en-GB"/>
              </w:rPr>
              <w:t>Author</w:t>
            </w:r>
            <w:r w:rsidR="00A55E48" w:rsidRPr="00B67D0B">
              <w:rPr>
                <w:rFonts w:eastAsia="Times New Roman" w:cstheme="minorHAnsi"/>
                <w:sz w:val="24"/>
                <w:szCs w:val="24"/>
                <w:lang w:eastAsia="en-GB"/>
              </w:rPr>
              <w:t xml:space="preserve"> &amp; </w:t>
            </w:r>
            <w:r w:rsidRPr="00B67D0B">
              <w:rPr>
                <w:rFonts w:eastAsia="Times New Roman" w:cstheme="minorHAnsi"/>
                <w:sz w:val="24"/>
                <w:szCs w:val="24"/>
                <w:lang w:eastAsia="en-GB"/>
              </w:rPr>
              <w:t>Owner</w:t>
            </w:r>
            <w:r w:rsidR="001D7D70">
              <w:rPr>
                <w:rFonts w:eastAsia="Times New Roman" w:cstheme="minorHAnsi"/>
                <w:sz w:val="24"/>
                <w:szCs w:val="24"/>
                <w:lang w:eastAsia="en-GB"/>
              </w:rPr>
              <w:t xml:space="preserve"> </w:t>
            </w:r>
            <w:r w:rsidR="008772DB" w:rsidRPr="00B67D0B">
              <w:rPr>
                <w:rFonts w:eastAsia="Times New Roman" w:cstheme="minorHAnsi"/>
                <w:sz w:val="24"/>
                <w:szCs w:val="24"/>
                <w:lang w:eastAsia="en-GB"/>
              </w:rPr>
              <w:t xml:space="preserve">Jackie Cobb/ </w:t>
            </w:r>
            <w:r w:rsidR="001D7D70">
              <w:rPr>
                <w:rFonts w:eastAsia="Times New Roman" w:cstheme="minorHAnsi"/>
                <w:sz w:val="24"/>
                <w:szCs w:val="24"/>
                <w:lang w:eastAsia="en-GB"/>
              </w:rPr>
              <w:t>Paul Elliott</w:t>
            </w:r>
          </w:p>
        </w:tc>
        <w:tc>
          <w:tcPr>
            <w:tcW w:w="4261" w:type="dxa"/>
            <w:shd w:val="clear" w:color="auto" w:fill="auto"/>
          </w:tcPr>
          <w:p w14:paraId="493435B7" w14:textId="242A84BD" w:rsidR="0081789E" w:rsidRPr="00B67D0B" w:rsidRDefault="0081789E" w:rsidP="004B1D78">
            <w:pPr>
              <w:spacing w:after="0" w:line="240" w:lineRule="auto"/>
              <w:rPr>
                <w:rFonts w:eastAsia="Times New Roman" w:cstheme="minorHAnsi"/>
                <w:sz w:val="24"/>
                <w:szCs w:val="24"/>
                <w:lang w:eastAsia="en-GB"/>
              </w:rPr>
            </w:pPr>
            <w:r w:rsidRPr="00B67D0B">
              <w:rPr>
                <w:rFonts w:eastAsia="Times New Roman" w:cstheme="minorHAnsi"/>
                <w:sz w:val="24"/>
                <w:szCs w:val="24"/>
                <w:lang w:eastAsia="en-GB"/>
              </w:rPr>
              <w:t xml:space="preserve">Review due: </w:t>
            </w:r>
            <w:r w:rsidR="002E036D" w:rsidRPr="00B67D0B">
              <w:rPr>
                <w:rFonts w:eastAsia="Times New Roman" w:cstheme="minorHAnsi"/>
                <w:sz w:val="24"/>
                <w:szCs w:val="24"/>
                <w:lang w:eastAsia="en-GB"/>
              </w:rPr>
              <w:t xml:space="preserve">April </w:t>
            </w:r>
            <w:r w:rsidR="001D7D70">
              <w:rPr>
                <w:rFonts w:eastAsia="Times New Roman" w:cstheme="minorHAnsi"/>
                <w:sz w:val="24"/>
                <w:szCs w:val="24"/>
                <w:lang w:eastAsia="en-GB"/>
              </w:rPr>
              <w:t>2025</w:t>
            </w:r>
          </w:p>
        </w:tc>
      </w:tr>
    </w:tbl>
    <w:p w14:paraId="65D33A46" w14:textId="77777777" w:rsidR="005A72DB" w:rsidRPr="00B67D0B" w:rsidRDefault="005A72DB" w:rsidP="0081789E">
      <w:pPr>
        <w:rPr>
          <w:rFonts w:cstheme="minorHAnsi"/>
          <w:b/>
          <w:sz w:val="24"/>
          <w:szCs w:val="24"/>
        </w:rPr>
      </w:pPr>
    </w:p>
    <w:p w14:paraId="16CF8F17" w14:textId="77777777" w:rsidR="005A72DB" w:rsidRPr="00B67D0B" w:rsidRDefault="005A72DB" w:rsidP="0081789E">
      <w:pPr>
        <w:rPr>
          <w:rFonts w:cstheme="minorHAnsi"/>
          <w:b/>
          <w:sz w:val="24"/>
          <w:szCs w:val="24"/>
        </w:rPr>
      </w:pPr>
    </w:p>
    <w:p w14:paraId="106D7883" w14:textId="736F7B06" w:rsidR="0081789E" w:rsidRPr="00B67D0B" w:rsidRDefault="0081789E" w:rsidP="0081789E">
      <w:pPr>
        <w:rPr>
          <w:rFonts w:cstheme="minorHAnsi"/>
          <w:b/>
          <w:sz w:val="24"/>
          <w:szCs w:val="24"/>
        </w:rPr>
      </w:pPr>
      <w:r w:rsidRPr="00B67D0B">
        <w:rPr>
          <w:rFonts w:cstheme="minorHAnsi"/>
          <w:b/>
          <w:sz w:val="24"/>
          <w:szCs w:val="24"/>
        </w:rPr>
        <w:lastRenderedPageBreak/>
        <w:t>ROTHERHAM METROPOLITAN BOROUGH COUNCIL</w:t>
      </w:r>
    </w:p>
    <w:p w14:paraId="52B4EE1D" w14:textId="0F17DC66" w:rsidR="0081789E" w:rsidRPr="00B67D0B" w:rsidRDefault="0081789E" w:rsidP="0081789E">
      <w:pPr>
        <w:rPr>
          <w:rFonts w:cstheme="minorHAnsi"/>
          <w:b/>
          <w:sz w:val="24"/>
          <w:szCs w:val="24"/>
        </w:rPr>
      </w:pPr>
      <w:r w:rsidRPr="00B67D0B">
        <w:rPr>
          <w:rFonts w:cstheme="minorHAnsi"/>
          <w:b/>
          <w:sz w:val="24"/>
          <w:szCs w:val="24"/>
        </w:rPr>
        <w:t xml:space="preserve">Housing – </w:t>
      </w:r>
      <w:r w:rsidR="008772DB" w:rsidRPr="00B67D0B">
        <w:rPr>
          <w:rFonts w:cstheme="minorHAnsi"/>
          <w:b/>
          <w:sz w:val="24"/>
          <w:szCs w:val="24"/>
        </w:rPr>
        <w:t>Income Pre-Tenancy</w:t>
      </w:r>
      <w:r w:rsidRPr="00B67D0B">
        <w:rPr>
          <w:rFonts w:cstheme="minorHAnsi"/>
          <w:b/>
          <w:sz w:val="24"/>
          <w:szCs w:val="24"/>
        </w:rPr>
        <w:t xml:space="preserve"> </w:t>
      </w:r>
      <w:r w:rsidR="00855054" w:rsidRPr="00B67D0B">
        <w:rPr>
          <w:rFonts w:cstheme="minorHAnsi"/>
          <w:b/>
          <w:sz w:val="24"/>
          <w:szCs w:val="24"/>
        </w:rPr>
        <w:t>Framework</w:t>
      </w:r>
    </w:p>
    <w:p w14:paraId="0500AF10" w14:textId="77777777" w:rsidR="005A72DB" w:rsidRPr="00B67D0B" w:rsidRDefault="005A72DB" w:rsidP="0081789E">
      <w:pPr>
        <w:rPr>
          <w:rFonts w:cstheme="minorHAnsi"/>
          <w:b/>
          <w:sz w:val="24"/>
          <w:szCs w:val="24"/>
        </w:rPr>
      </w:pPr>
    </w:p>
    <w:p w14:paraId="021FB50B" w14:textId="28F974C0" w:rsidR="0081789E" w:rsidRPr="00B67D0B" w:rsidRDefault="0081789E" w:rsidP="0081789E">
      <w:pPr>
        <w:rPr>
          <w:rFonts w:cstheme="minorHAnsi"/>
          <w:b/>
          <w:sz w:val="24"/>
          <w:szCs w:val="24"/>
        </w:rPr>
      </w:pPr>
      <w:r w:rsidRPr="00B67D0B">
        <w:rPr>
          <w:rFonts w:cstheme="minorHAnsi"/>
          <w:b/>
          <w:sz w:val="24"/>
          <w:szCs w:val="24"/>
        </w:rPr>
        <w:t>CONTENTS</w:t>
      </w:r>
    </w:p>
    <w:p w14:paraId="157106B2" w14:textId="53FDFAF3" w:rsidR="0081789E" w:rsidRPr="00B67D0B" w:rsidRDefault="00BF4CD6" w:rsidP="0081789E">
      <w:pPr>
        <w:pStyle w:val="ListParagraph"/>
        <w:numPr>
          <w:ilvl w:val="0"/>
          <w:numId w:val="1"/>
        </w:numPr>
        <w:rPr>
          <w:rFonts w:cstheme="minorHAnsi"/>
          <w:b/>
          <w:sz w:val="24"/>
          <w:szCs w:val="24"/>
        </w:rPr>
      </w:pPr>
      <w:r w:rsidRPr="00B67D0B">
        <w:rPr>
          <w:rFonts w:cstheme="minorHAnsi"/>
          <w:b/>
          <w:sz w:val="24"/>
          <w:szCs w:val="24"/>
        </w:rPr>
        <w:t>Introduction</w:t>
      </w:r>
    </w:p>
    <w:p w14:paraId="2C1A87C6" w14:textId="77777777" w:rsidR="0081789E" w:rsidRPr="00B67D0B" w:rsidRDefault="0081789E" w:rsidP="0081789E">
      <w:pPr>
        <w:pStyle w:val="ListParagraph"/>
        <w:rPr>
          <w:rFonts w:cstheme="minorHAnsi"/>
          <w:b/>
          <w:sz w:val="24"/>
          <w:szCs w:val="24"/>
        </w:rPr>
      </w:pPr>
    </w:p>
    <w:p w14:paraId="10D78EC0" w14:textId="302B7A7C" w:rsidR="0081789E" w:rsidRPr="00B67D0B" w:rsidRDefault="00BF4CD6" w:rsidP="0081789E">
      <w:pPr>
        <w:pStyle w:val="ListParagraph"/>
        <w:numPr>
          <w:ilvl w:val="0"/>
          <w:numId w:val="1"/>
        </w:numPr>
        <w:rPr>
          <w:rFonts w:cstheme="minorHAnsi"/>
          <w:b/>
          <w:sz w:val="24"/>
          <w:szCs w:val="24"/>
        </w:rPr>
      </w:pPr>
      <w:r w:rsidRPr="00B67D0B">
        <w:rPr>
          <w:rFonts w:cstheme="minorHAnsi"/>
          <w:b/>
          <w:sz w:val="24"/>
          <w:szCs w:val="24"/>
        </w:rPr>
        <w:t>Purpose</w:t>
      </w:r>
    </w:p>
    <w:p w14:paraId="388C0ABB" w14:textId="77777777" w:rsidR="0081789E" w:rsidRPr="00B67D0B" w:rsidRDefault="0081789E" w:rsidP="0081789E">
      <w:pPr>
        <w:pStyle w:val="ListParagraph"/>
        <w:rPr>
          <w:rFonts w:cstheme="minorHAnsi"/>
          <w:b/>
          <w:sz w:val="24"/>
          <w:szCs w:val="24"/>
        </w:rPr>
      </w:pPr>
    </w:p>
    <w:p w14:paraId="5BBA0BA4" w14:textId="375A5E64" w:rsidR="0081789E" w:rsidRPr="00B67D0B" w:rsidRDefault="00BF4CD6" w:rsidP="0081789E">
      <w:pPr>
        <w:pStyle w:val="ListParagraph"/>
        <w:numPr>
          <w:ilvl w:val="0"/>
          <w:numId w:val="1"/>
        </w:numPr>
        <w:rPr>
          <w:rFonts w:cstheme="minorHAnsi"/>
          <w:b/>
          <w:sz w:val="24"/>
          <w:szCs w:val="24"/>
        </w:rPr>
      </w:pPr>
      <w:r w:rsidRPr="00B67D0B">
        <w:rPr>
          <w:rFonts w:cstheme="minorHAnsi"/>
          <w:b/>
          <w:sz w:val="24"/>
          <w:szCs w:val="24"/>
        </w:rPr>
        <w:t xml:space="preserve">The </w:t>
      </w:r>
      <w:r w:rsidR="003D76E2" w:rsidRPr="00B67D0B">
        <w:rPr>
          <w:rFonts w:cstheme="minorHAnsi"/>
          <w:b/>
          <w:sz w:val="24"/>
          <w:szCs w:val="24"/>
        </w:rPr>
        <w:t>Procedure</w:t>
      </w:r>
    </w:p>
    <w:p w14:paraId="0B5D78C9" w14:textId="77777777" w:rsidR="0081789E" w:rsidRPr="00B67D0B" w:rsidRDefault="0081789E" w:rsidP="0081789E">
      <w:pPr>
        <w:pStyle w:val="ListParagraph"/>
        <w:rPr>
          <w:rFonts w:cstheme="minorHAnsi"/>
          <w:b/>
          <w:sz w:val="24"/>
          <w:szCs w:val="24"/>
        </w:rPr>
      </w:pPr>
    </w:p>
    <w:p w14:paraId="1BEF6135" w14:textId="77777777" w:rsidR="0081789E" w:rsidRPr="00B67D0B" w:rsidRDefault="0081789E" w:rsidP="0081789E">
      <w:pPr>
        <w:pStyle w:val="ListParagraph"/>
        <w:numPr>
          <w:ilvl w:val="0"/>
          <w:numId w:val="1"/>
        </w:numPr>
        <w:rPr>
          <w:rFonts w:cstheme="minorHAnsi"/>
          <w:b/>
          <w:sz w:val="24"/>
          <w:szCs w:val="24"/>
        </w:rPr>
      </w:pPr>
      <w:r w:rsidRPr="00B67D0B">
        <w:rPr>
          <w:rFonts w:cstheme="minorHAnsi"/>
          <w:b/>
          <w:sz w:val="24"/>
          <w:szCs w:val="24"/>
        </w:rPr>
        <w:t>Performance</w:t>
      </w:r>
    </w:p>
    <w:p w14:paraId="4970EBD8" w14:textId="77777777" w:rsidR="0081789E" w:rsidRPr="00B67D0B" w:rsidRDefault="0081789E" w:rsidP="0081789E">
      <w:pPr>
        <w:pStyle w:val="ListParagraph"/>
        <w:rPr>
          <w:rFonts w:cstheme="minorHAnsi"/>
          <w:b/>
          <w:sz w:val="24"/>
          <w:szCs w:val="24"/>
        </w:rPr>
      </w:pPr>
    </w:p>
    <w:p w14:paraId="0C14A326" w14:textId="66CD7AC5" w:rsidR="0081789E" w:rsidRPr="00B67D0B" w:rsidRDefault="00BF4CD6" w:rsidP="0081789E">
      <w:pPr>
        <w:pStyle w:val="ListParagraph"/>
        <w:numPr>
          <w:ilvl w:val="0"/>
          <w:numId w:val="1"/>
        </w:numPr>
        <w:rPr>
          <w:rFonts w:cstheme="minorHAnsi"/>
          <w:b/>
          <w:sz w:val="24"/>
          <w:szCs w:val="24"/>
        </w:rPr>
      </w:pPr>
      <w:r w:rsidRPr="00B67D0B">
        <w:rPr>
          <w:rFonts w:cstheme="minorHAnsi"/>
          <w:b/>
          <w:sz w:val="24"/>
          <w:szCs w:val="24"/>
        </w:rPr>
        <w:t>Role Responsibility &amp; Authority</w:t>
      </w:r>
    </w:p>
    <w:p w14:paraId="0EC3AEF1" w14:textId="77777777" w:rsidR="0081789E" w:rsidRPr="00B67D0B" w:rsidRDefault="0081789E" w:rsidP="0081789E">
      <w:pPr>
        <w:pStyle w:val="ListParagraph"/>
        <w:rPr>
          <w:rFonts w:cstheme="minorHAnsi"/>
          <w:b/>
          <w:sz w:val="24"/>
          <w:szCs w:val="24"/>
        </w:rPr>
      </w:pPr>
    </w:p>
    <w:p w14:paraId="041B07A1" w14:textId="1B2559DE" w:rsidR="0081789E" w:rsidRPr="00B67D0B" w:rsidRDefault="00BF4CD6" w:rsidP="0081789E">
      <w:pPr>
        <w:pStyle w:val="ListParagraph"/>
        <w:numPr>
          <w:ilvl w:val="0"/>
          <w:numId w:val="1"/>
        </w:numPr>
        <w:rPr>
          <w:rFonts w:cstheme="minorHAnsi"/>
          <w:b/>
          <w:sz w:val="24"/>
          <w:szCs w:val="24"/>
        </w:rPr>
      </w:pPr>
      <w:r w:rsidRPr="00B67D0B">
        <w:rPr>
          <w:rFonts w:cstheme="minorHAnsi"/>
          <w:b/>
          <w:sz w:val="24"/>
          <w:szCs w:val="24"/>
        </w:rPr>
        <w:t>Monitoring, Review &amp; Evaluation</w:t>
      </w:r>
    </w:p>
    <w:p w14:paraId="1C00682F" w14:textId="77777777" w:rsidR="0081789E" w:rsidRPr="00B67D0B" w:rsidRDefault="0081789E" w:rsidP="0081789E">
      <w:pPr>
        <w:pStyle w:val="ListParagraph"/>
        <w:rPr>
          <w:rFonts w:cstheme="minorHAnsi"/>
          <w:b/>
          <w:sz w:val="24"/>
          <w:szCs w:val="24"/>
        </w:rPr>
      </w:pPr>
    </w:p>
    <w:p w14:paraId="56A98B7F" w14:textId="28131920" w:rsidR="0081789E" w:rsidRPr="00B67D0B" w:rsidRDefault="00BF4CD6" w:rsidP="0081789E">
      <w:pPr>
        <w:pStyle w:val="ListParagraph"/>
        <w:numPr>
          <w:ilvl w:val="0"/>
          <w:numId w:val="1"/>
        </w:numPr>
        <w:rPr>
          <w:rFonts w:cstheme="minorHAnsi"/>
          <w:b/>
          <w:sz w:val="24"/>
          <w:szCs w:val="24"/>
        </w:rPr>
      </w:pPr>
      <w:r w:rsidRPr="00B67D0B">
        <w:rPr>
          <w:rFonts w:cstheme="minorHAnsi"/>
          <w:b/>
          <w:sz w:val="24"/>
          <w:szCs w:val="24"/>
        </w:rPr>
        <w:t>Legislation and Guidance</w:t>
      </w:r>
    </w:p>
    <w:p w14:paraId="43CFF78D" w14:textId="77777777" w:rsidR="00BF4CD6" w:rsidRPr="00B67D0B" w:rsidRDefault="00BF4CD6" w:rsidP="00BF4CD6">
      <w:pPr>
        <w:pStyle w:val="ListParagraph"/>
        <w:rPr>
          <w:rFonts w:cstheme="minorHAnsi"/>
          <w:b/>
          <w:sz w:val="24"/>
          <w:szCs w:val="24"/>
        </w:rPr>
      </w:pPr>
    </w:p>
    <w:p w14:paraId="706C9879" w14:textId="10736F65" w:rsidR="008036A0" w:rsidRDefault="009D3244" w:rsidP="0081789E">
      <w:pPr>
        <w:pStyle w:val="ListParagraph"/>
        <w:numPr>
          <w:ilvl w:val="0"/>
          <w:numId w:val="1"/>
        </w:numPr>
        <w:rPr>
          <w:rFonts w:cstheme="minorHAnsi"/>
          <w:b/>
          <w:sz w:val="24"/>
          <w:szCs w:val="24"/>
        </w:rPr>
      </w:pPr>
      <w:r>
        <w:rPr>
          <w:rFonts w:cstheme="minorHAnsi"/>
          <w:b/>
          <w:sz w:val="24"/>
          <w:szCs w:val="24"/>
        </w:rPr>
        <w:t>Framework</w:t>
      </w:r>
      <w:r w:rsidR="00BF4CD6" w:rsidRPr="00B67D0B">
        <w:rPr>
          <w:rFonts w:cstheme="minorHAnsi"/>
          <w:b/>
          <w:sz w:val="24"/>
          <w:szCs w:val="24"/>
        </w:rPr>
        <w:t xml:space="preserve"> Control Statement</w:t>
      </w:r>
    </w:p>
    <w:p w14:paraId="1122512C" w14:textId="77777777" w:rsidR="008036A0" w:rsidRPr="008036A0" w:rsidRDefault="008036A0" w:rsidP="008036A0">
      <w:pPr>
        <w:pStyle w:val="ListParagraph"/>
        <w:rPr>
          <w:rFonts w:cstheme="minorHAnsi"/>
          <w:sz w:val="24"/>
          <w:szCs w:val="24"/>
        </w:rPr>
      </w:pPr>
    </w:p>
    <w:p w14:paraId="4159585C" w14:textId="7955ECDB" w:rsidR="0081789E" w:rsidRPr="008036A0" w:rsidRDefault="008036A0" w:rsidP="0081789E">
      <w:pPr>
        <w:pStyle w:val="ListParagraph"/>
        <w:numPr>
          <w:ilvl w:val="0"/>
          <w:numId w:val="1"/>
        </w:numPr>
        <w:rPr>
          <w:rFonts w:cstheme="minorHAnsi"/>
          <w:b/>
          <w:bCs/>
          <w:sz w:val="24"/>
          <w:szCs w:val="24"/>
        </w:rPr>
      </w:pPr>
      <w:r w:rsidRPr="008036A0">
        <w:rPr>
          <w:rFonts w:cstheme="minorHAnsi"/>
          <w:b/>
          <w:bCs/>
          <w:sz w:val="24"/>
          <w:szCs w:val="24"/>
        </w:rPr>
        <w:t>Appendix</w:t>
      </w:r>
    </w:p>
    <w:p w14:paraId="1B9F975E" w14:textId="77777777" w:rsidR="0081789E" w:rsidRPr="00B67D0B" w:rsidRDefault="0081789E" w:rsidP="0081789E">
      <w:pPr>
        <w:rPr>
          <w:rFonts w:cstheme="minorHAnsi"/>
          <w:sz w:val="24"/>
          <w:szCs w:val="24"/>
        </w:rPr>
      </w:pPr>
    </w:p>
    <w:p w14:paraId="547EB1BC" w14:textId="77777777" w:rsidR="0081789E" w:rsidRPr="00B67D0B" w:rsidRDefault="0081789E" w:rsidP="0081789E">
      <w:pPr>
        <w:rPr>
          <w:rFonts w:cstheme="minorHAnsi"/>
          <w:sz w:val="24"/>
          <w:szCs w:val="24"/>
        </w:rPr>
      </w:pPr>
    </w:p>
    <w:p w14:paraId="1B75692B" w14:textId="77777777" w:rsidR="0081789E" w:rsidRPr="00B67D0B" w:rsidRDefault="0081789E" w:rsidP="0081789E">
      <w:pPr>
        <w:rPr>
          <w:rFonts w:cstheme="minorHAnsi"/>
          <w:sz w:val="24"/>
          <w:szCs w:val="24"/>
        </w:rPr>
      </w:pPr>
    </w:p>
    <w:p w14:paraId="0250515E" w14:textId="77777777" w:rsidR="0081789E" w:rsidRPr="00B67D0B" w:rsidRDefault="0081789E" w:rsidP="0081789E">
      <w:pPr>
        <w:rPr>
          <w:rFonts w:cstheme="minorHAnsi"/>
          <w:sz w:val="24"/>
          <w:szCs w:val="24"/>
        </w:rPr>
      </w:pPr>
    </w:p>
    <w:p w14:paraId="5E4E4635" w14:textId="77777777" w:rsidR="0081789E" w:rsidRPr="00B67D0B" w:rsidRDefault="0081789E" w:rsidP="0081789E">
      <w:pPr>
        <w:rPr>
          <w:rFonts w:cstheme="minorHAnsi"/>
          <w:sz w:val="24"/>
          <w:szCs w:val="24"/>
        </w:rPr>
      </w:pPr>
    </w:p>
    <w:p w14:paraId="5497F50A" w14:textId="6B3FF99D" w:rsidR="008A0523" w:rsidRDefault="008A0523" w:rsidP="0081789E">
      <w:pPr>
        <w:rPr>
          <w:rFonts w:cstheme="minorHAnsi"/>
          <w:sz w:val="24"/>
          <w:szCs w:val="24"/>
        </w:rPr>
      </w:pPr>
    </w:p>
    <w:p w14:paraId="1057F44C" w14:textId="1943CF9E" w:rsidR="00B67D0B" w:rsidRDefault="00B67D0B" w:rsidP="0081789E">
      <w:pPr>
        <w:rPr>
          <w:rFonts w:cstheme="minorHAnsi"/>
          <w:sz w:val="24"/>
          <w:szCs w:val="24"/>
        </w:rPr>
      </w:pPr>
    </w:p>
    <w:p w14:paraId="5980A93A" w14:textId="37E90531" w:rsidR="00B67D0B" w:rsidRDefault="00B67D0B" w:rsidP="0081789E">
      <w:pPr>
        <w:rPr>
          <w:rFonts w:cstheme="minorHAnsi"/>
          <w:sz w:val="24"/>
          <w:szCs w:val="24"/>
        </w:rPr>
      </w:pPr>
    </w:p>
    <w:p w14:paraId="0178EA98" w14:textId="16CC68C4" w:rsidR="00B67D0B" w:rsidRDefault="00B67D0B" w:rsidP="0081789E">
      <w:pPr>
        <w:rPr>
          <w:rFonts w:cstheme="minorHAnsi"/>
          <w:sz w:val="24"/>
          <w:szCs w:val="24"/>
        </w:rPr>
      </w:pPr>
    </w:p>
    <w:p w14:paraId="3ADBECBD" w14:textId="77777777" w:rsidR="00B67D0B" w:rsidRPr="00B67D0B" w:rsidRDefault="00B67D0B" w:rsidP="0081789E">
      <w:pPr>
        <w:rPr>
          <w:rFonts w:cstheme="minorHAnsi"/>
          <w:sz w:val="24"/>
          <w:szCs w:val="24"/>
        </w:rPr>
      </w:pPr>
    </w:p>
    <w:p w14:paraId="2D204364" w14:textId="77777777" w:rsidR="005A72DB" w:rsidRPr="00B67D0B" w:rsidRDefault="005A72DB" w:rsidP="0081789E">
      <w:pPr>
        <w:rPr>
          <w:rFonts w:cstheme="minorHAnsi"/>
          <w:sz w:val="24"/>
          <w:szCs w:val="24"/>
        </w:rPr>
      </w:pPr>
    </w:p>
    <w:p w14:paraId="42BC8405" w14:textId="0648ACF7" w:rsidR="0081789E" w:rsidRPr="00B67D0B" w:rsidRDefault="0081789E" w:rsidP="0081789E">
      <w:pPr>
        <w:rPr>
          <w:rFonts w:cstheme="minorHAnsi"/>
          <w:b/>
          <w:sz w:val="24"/>
          <w:szCs w:val="24"/>
        </w:rPr>
      </w:pPr>
      <w:r w:rsidRPr="00B67D0B">
        <w:rPr>
          <w:rFonts w:cstheme="minorHAnsi"/>
          <w:b/>
          <w:sz w:val="24"/>
          <w:szCs w:val="24"/>
        </w:rPr>
        <w:lastRenderedPageBreak/>
        <w:t>ROTHERHAM METROPOLITAN BOROUGH COUNCIL</w:t>
      </w:r>
    </w:p>
    <w:p w14:paraId="55219898" w14:textId="0441A52E" w:rsidR="0081789E" w:rsidRPr="00B67D0B" w:rsidRDefault="0081789E" w:rsidP="0081789E">
      <w:pPr>
        <w:rPr>
          <w:rFonts w:cstheme="minorHAnsi"/>
          <w:b/>
          <w:sz w:val="24"/>
          <w:szCs w:val="24"/>
        </w:rPr>
      </w:pPr>
      <w:r w:rsidRPr="00B67D0B">
        <w:rPr>
          <w:rFonts w:cstheme="minorHAnsi"/>
          <w:b/>
          <w:sz w:val="24"/>
          <w:szCs w:val="24"/>
        </w:rPr>
        <w:t xml:space="preserve">Housing – </w:t>
      </w:r>
      <w:r w:rsidR="008772DB" w:rsidRPr="00B67D0B">
        <w:rPr>
          <w:rFonts w:cstheme="minorHAnsi"/>
          <w:b/>
          <w:sz w:val="24"/>
          <w:szCs w:val="24"/>
        </w:rPr>
        <w:t xml:space="preserve">Income </w:t>
      </w:r>
      <w:r w:rsidR="007B138B" w:rsidRPr="00B67D0B">
        <w:rPr>
          <w:rFonts w:cstheme="minorHAnsi"/>
          <w:b/>
          <w:sz w:val="24"/>
          <w:szCs w:val="24"/>
        </w:rPr>
        <w:t>Pre-Tenancy</w:t>
      </w:r>
      <w:r w:rsidRPr="00B67D0B">
        <w:rPr>
          <w:rFonts w:cstheme="minorHAnsi"/>
          <w:b/>
          <w:sz w:val="24"/>
          <w:szCs w:val="24"/>
        </w:rPr>
        <w:t xml:space="preserve"> </w:t>
      </w:r>
      <w:r w:rsidR="00855054" w:rsidRPr="00B67D0B">
        <w:rPr>
          <w:rFonts w:cstheme="minorHAnsi"/>
          <w:b/>
          <w:sz w:val="24"/>
          <w:szCs w:val="24"/>
        </w:rPr>
        <w:t>Framework</w:t>
      </w:r>
      <w:r w:rsidRPr="00B67D0B">
        <w:rPr>
          <w:rFonts w:cstheme="minorHAnsi"/>
          <w:b/>
          <w:sz w:val="24"/>
          <w:szCs w:val="24"/>
        </w:rPr>
        <w:t xml:space="preserve"> </w:t>
      </w:r>
    </w:p>
    <w:p w14:paraId="04E7E4D3" w14:textId="126B422B" w:rsidR="0081789E" w:rsidRPr="003271A7" w:rsidRDefault="0081789E" w:rsidP="0081789E">
      <w:pPr>
        <w:rPr>
          <w:rFonts w:cstheme="minorHAnsi"/>
          <w:b/>
          <w:sz w:val="28"/>
          <w:szCs w:val="28"/>
          <w:u w:val="single"/>
        </w:rPr>
      </w:pPr>
      <w:r w:rsidRPr="003271A7">
        <w:rPr>
          <w:rFonts w:cstheme="minorHAnsi"/>
          <w:b/>
          <w:sz w:val="28"/>
          <w:szCs w:val="28"/>
          <w:u w:val="single"/>
        </w:rPr>
        <w:t xml:space="preserve">1.0 </w:t>
      </w:r>
      <w:r w:rsidR="00BF4CD6" w:rsidRPr="003271A7">
        <w:rPr>
          <w:rFonts w:cstheme="minorHAnsi"/>
          <w:b/>
          <w:sz w:val="28"/>
          <w:szCs w:val="28"/>
          <w:u w:val="single"/>
        </w:rPr>
        <w:t>Introduction</w:t>
      </w:r>
    </w:p>
    <w:p w14:paraId="243D13F6" w14:textId="77777777" w:rsidR="008772DB" w:rsidRPr="00B67D0B" w:rsidRDefault="008772DB" w:rsidP="008772DB">
      <w:pPr>
        <w:rPr>
          <w:rFonts w:cstheme="minorHAnsi"/>
          <w:sz w:val="24"/>
          <w:szCs w:val="24"/>
        </w:rPr>
      </w:pPr>
      <w:r w:rsidRPr="00B67D0B">
        <w:rPr>
          <w:rFonts w:cstheme="minorHAnsi"/>
          <w:sz w:val="24"/>
          <w:szCs w:val="24"/>
        </w:rPr>
        <w:t xml:space="preserve">This framework sets out guidance for an efficient and effective approach to affordability assessments which comply with legislative requirements, other frameworks already in place where applicable and wider corporate objectives. </w:t>
      </w:r>
    </w:p>
    <w:p w14:paraId="56337751" w14:textId="0D975B3A" w:rsidR="008772DB" w:rsidRPr="00B67D0B" w:rsidRDefault="008772DB" w:rsidP="008772DB">
      <w:pPr>
        <w:rPr>
          <w:rFonts w:cstheme="minorHAnsi"/>
          <w:sz w:val="24"/>
          <w:szCs w:val="24"/>
        </w:rPr>
      </w:pPr>
      <w:r w:rsidRPr="00B67D0B">
        <w:rPr>
          <w:rFonts w:cstheme="minorHAnsi"/>
          <w:sz w:val="24"/>
          <w:szCs w:val="24"/>
        </w:rPr>
        <w:t xml:space="preserve">The </w:t>
      </w:r>
      <w:r w:rsidR="009D3244">
        <w:rPr>
          <w:rFonts w:cstheme="minorHAnsi"/>
          <w:sz w:val="24"/>
          <w:szCs w:val="24"/>
        </w:rPr>
        <w:t>framework</w:t>
      </w:r>
      <w:r w:rsidRPr="00B67D0B">
        <w:rPr>
          <w:rFonts w:cstheme="minorHAnsi"/>
          <w:sz w:val="24"/>
          <w:szCs w:val="24"/>
        </w:rPr>
        <w:t xml:space="preserve"> details how affordability assessments will be conducted by the Income Pre-Tenancy team and how the team will respond in specific scenarios.</w:t>
      </w:r>
    </w:p>
    <w:p w14:paraId="0977E50A" w14:textId="77777777" w:rsidR="00C95054" w:rsidRPr="00B67D0B" w:rsidRDefault="00C95054" w:rsidP="0081789E">
      <w:pPr>
        <w:rPr>
          <w:rFonts w:cstheme="minorHAnsi"/>
          <w:color w:val="FF0000"/>
          <w:sz w:val="24"/>
          <w:szCs w:val="24"/>
        </w:rPr>
      </w:pPr>
    </w:p>
    <w:p w14:paraId="5B2EDD1E" w14:textId="69D2BB69" w:rsidR="0081789E" w:rsidRPr="003271A7" w:rsidRDefault="0081789E" w:rsidP="0081789E">
      <w:pPr>
        <w:rPr>
          <w:rFonts w:cstheme="minorHAnsi"/>
          <w:b/>
          <w:color w:val="FF0000"/>
          <w:sz w:val="28"/>
          <w:szCs w:val="28"/>
          <w:u w:val="single"/>
        </w:rPr>
      </w:pPr>
      <w:r w:rsidRPr="003271A7">
        <w:rPr>
          <w:rFonts w:cstheme="minorHAnsi"/>
          <w:b/>
          <w:sz w:val="28"/>
          <w:szCs w:val="28"/>
          <w:u w:val="single"/>
        </w:rPr>
        <w:t xml:space="preserve">2.0 </w:t>
      </w:r>
      <w:r w:rsidR="00BF4CD6" w:rsidRPr="003271A7">
        <w:rPr>
          <w:rFonts w:cstheme="minorHAnsi"/>
          <w:b/>
          <w:sz w:val="28"/>
          <w:szCs w:val="28"/>
          <w:u w:val="single"/>
        </w:rPr>
        <w:t>Purpose</w:t>
      </w:r>
      <w:r w:rsidRPr="003271A7">
        <w:rPr>
          <w:rFonts w:cstheme="minorHAnsi"/>
          <w:b/>
          <w:sz w:val="28"/>
          <w:szCs w:val="28"/>
          <w:u w:val="single"/>
        </w:rPr>
        <w:t xml:space="preserve"> </w:t>
      </w:r>
    </w:p>
    <w:p w14:paraId="2FE59FA4" w14:textId="0CF3573D" w:rsidR="0081789E" w:rsidRPr="00B67D0B" w:rsidRDefault="0081789E" w:rsidP="0081789E">
      <w:pPr>
        <w:rPr>
          <w:rFonts w:cstheme="minorHAnsi"/>
          <w:sz w:val="24"/>
          <w:szCs w:val="24"/>
        </w:rPr>
      </w:pPr>
      <w:r w:rsidRPr="00B67D0B">
        <w:rPr>
          <w:rFonts w:cstheme="minorHAnsi"/>
          <w:sz w:val="24"/>
          <w:szCs w:val="24"/>
        </w:rPr>
        <w:t xml:space="preserve">The aims of the Housing Income team are centred on </w:t>
      </w:r>
      <w:r w:rsidR="00772952" w:rsidRPr="00B67D0B">
        <w:rPr>
          <w:rFonts w:cstheme="minorHAnsi"/>
          <w:sz w:val="24"/>
          <w:szCs w:val="24"/>
        </w:rPr>
        <w:t xml:space="preserve">the </w:t>
      </w:r>
      <w:r w:rsidRPr="00B67D0B">
        <w:rPr>
          <w:rFonts w:cstheme="minorHAnsi"/>
          <w:sz w:val="24"/>
          <w:szCs w:val="24"/>
        </w:rPr>
        <w:t xml:space="preserve">main corporate </w:t>
      </w:r>
      <w:r w:rsidR="00A71AEB" w:rsidRPr="00B67D0B">
        <w:rPr>
          <w:rFonts w:cstheme="minorHAnsi"/>
          <w:sz w:val="24"/>
          <w:szCs w:val="24"/>
        </w:rPr>
        <w:t>vision and one Council approach:</w:t>
      </w:r>
    </w:p>
    <w:p w14:paraId="172A24F5" w14:textId="64E27974" w:rsidR="0081789E" w:rsidRPr="00B67D0B" w:rsidRDefault="0081789E" w:rsidP="0081789E">
      <w:pPr>
        <w:pStyle w:val="ListParagraph"/>
        <w:numPr>
          <w:ilvl w:val="0"/>
          <w:numId w:val="5"/>
        </w:numPr>
        <w:rPr>
          <w:rFonts w:cstheme="minorHAnsi"/>
          <w:sz w:val="24"/>
          <w:szCs w:val="24"/>
        </w:rPr>
      </w:pPr>
      <w:r w:rsidRPr="00B67D0B">
        <w:rPr>
          <w:rFonts w:cstheme="minorHAnsi"/>
          <w:sz w:val="24"/>
          <w:szCs w:val="24"/>
        </w:rPr>
        <w:t xml:space="preserve">Every child </w:t>
      </w:r>
      <w:r w:rsidR="004027E5" w:rsidRPr="00B67D0B">
        <w:rPr>
          <w:rFonts w:cstheme="minorHAnsi"/>
          <w:sz w:val="24"/>
          <w:szCs w:val="24"/>
        </w:rPr>
        <w:t>able to fulfil their potential</w:t>
      </w:r>
    </w:p>
    <w:p w14:paraId="46D87E54" w14:textId="09930848" w:rsidR="0081789E" w:rsidRPr="00B67D0B" w:rsidRDefault="004027E5" w:rsidP="0081789E">
      <w:pPr>
        <w:pStyle w:val="ListParagraph"/>
        <w:numPr>
          <w:ilvl w:val="0"/>
          <w:numId w:val="5"/>
        </w:numPr>
        <w:rPr>
          <w:rFonts w:cstheme="minorHAnsi"/>
          <w:sz w:val="24"/>
          <w:szCs w:val="24"/>
        </w:rPr>
      </w:pPr>
      <w:r w:rsidRPr="00B67D0B">
        <w:rPr>
          <w:rFonts w:cstheme="minorHAnsi"/>
          <w:sz w:val="24"/>
          <w:szCs w:val="24"/>
        </w:rPr>
        <w:t>People are safe, health and live well</w:t>
      </w:r>
    </w:p>
    <w:p w14:paraId="7A73469C" w14:textId="242A31C9" w:rsidR="0081789E" w:rsidRPr="00B67D0B" w:rsidRDefault="004027E5" w:rsidP="0081789E">
      <w:pPr>
        <w:pStyle w:val="ListParagraph"/>
        <w:numPr>
          <w:ilvl w:val="0"/>
          <w:numId w:val="5"/>
        </w:numPr>
        <w:rPr>
          <w:rFonts w:cstheme="minorHAnsi"/>
          <w:sz w:val="24"/>
          <w:szCs w:val="24"/>
        </w:rPr>
      </w:pPr>
      <w:r w:rsidRPr="00B67D0B">
        <w:rPr>
          <w:rFonts w:cstheme="minorHAnsi"/>
          <w:sz w:val="24"/>
          <w:szCs w:val="24"/>
        </w:rPr>
        <w:t>Every neighbourhood thriving</w:t>
      </w:r>
    </w:p>
    <w:p w14:paraId="3368D6AB" w14:textId="059E3A4D" w:rsidR="0081789E" w:rsidRPr="00B67D0B" w:rsidRDefault="0081789E" w:rsidP="0081789E">
      <w:pPr>
        <w:pStyle w:val="ListParagraph"/>
        <w:numPr>
          <w:ilvl w:val="0"/>
          <w:numId w:val="5"/>
        </w:numPr>
        <w:rPr>
          <w:rFonts w:cstheme="minorHAnsi"/>
          <w:sz w:val="24"/>
          <w:szCs w:val="24"/>
        </w:rPr>
      </w:pPr>
      <w:r w:rsidRPr="00B67D0B">
        <w:rPr>
          <w:rFonts w:cstheme="minorHAnsi"/>
          <w:sz w:val="24"/>
          <w:szCs w:val="24"/>
        </w:rPr>
        <w:t xml:space="preserve">Extending </w:t>
      </w:r>
      <w:r w:rsidR="004027E5" w:rsidRPr="00B67D0B">
        <w:rPr>
          <w:rFonts w:cstheme="minorHAnsi"/>
          <w:sz w:val="24"/>
          <w:szCs w:val="24"/>
        </w:rPr>
        <w:t>economic opportunity</w:t>
      </w:r>
    </w:p>
    <w:p w14:paraId="222F47CF" w14:textId="5207830E" w:rsidR="004027E5" w:rsidRPr="00B67D0B" w:rsidRDefault="004027E5" w:rsidP="0081789E">
      <w:pPr>
        <w:pStyle w:val="ListParagraph"/>
        <w:numPr>
          <w:ilvl w:val="0"/>
          <w:numId w:val="5"/>
        </w:numPr>
        <w:rPr>
          <w:rFonts w:cstheme="minorHAnsi"/>
          <w:sz w:val="24"/>
          <w:szCs w:val="24"/>
        </w:rPr>
      </w:pPr>
      <w:r w:rsidRPr="00B67D0B">
        <w:rPr>
          <w:rFonts w:cstheme="minorHAnsi"/>
          <w:sz w:val="24"/>
          <w:szCs w:val="24"/>
        </w:rPr>
        <w:t xml:space="preserve">A cleaner, greener local environment </w:t>
      </w:r>
    </w:p>
    <w:p w14:paraId="58002BAC" w14:textId="31596710" w:rsidR="00F55A31" w:rsidRPr="00B67D0B" w:rsidRDefault="0081789E" w:rsidP="0081789E">
      <w:pPr>
        <w:rPr>
          <w:rFonts w:cstheme="minorHAnsi"/>
          <w:sz w:val="24"/>
          <w:szCs w:val="24"/>
        </w:rPr>
      </w:pPr>
      <w:r w:rsidRPr="00B67D0B">
        <w:rPr>
          <w:rFonts w:cstheme="minorHAnsi"/>
          <w:sz w:val="24"/>
          <w:szCs w:val="24"/>
        </w:rPr>
        <w:t xml:space="preserve">The team serves a </w:t>
      </w:r>
      <w:r w:rsidR="004E55B1" w:rsidRPr="00B67D0B">
        <w:rPr>
          <w:rFonts w:cstheme="minorHAnsi"/>
          <w:sz w:val="24"/>
          <w:szCs w:val="24"/>
        </w:rPr>
        <w:t>wide-ranging</w:t>
      </w:r>
      <w:r w:rsidRPr="00B67D0B">
        <w:rPr>
          <w:rFonts w:cstheme="minorHAnsi"/>
          <w:sz w:val="24"/>
          <w:szCs w:val="24"/>
        </w:rPr>
        <w:t xml:space="preserve"> purpose that focuses not only on collection of income, but also instilling support for those with vulnerabilities through our financial inclusion team, </w:t>
      </w:r>
      <w:r w:rsidR="005F0339" w:rsidRPr="00B67D0B">
        <w:rPr>
          <w:rFonts w:cstheme="minorHAnsi"/>
          <w:sz w:val="24"/>
          <w:szCs w:val="24"/>
        </w:rPr>
        <w:t xml:space="preserve">whilst </w:t>
      </w:r>
      <w:r w:rsidRPr="00B67D0B">
        <w:rPr>
          <w:rFonts w:cstheme="minorHAnsi"/>
          <w:sz w:val="24"/>
          <w:szCs w:val="24"/>
        </w:rPr>
        <w:t xml:space="preserve">creating the opportunity of employment through our Employment Solutions </w:t>
      </w:r>
      <w:r w:rsidR="007B138B">
        <w:rPr>
          <w:rFonts w:cstheme="minorHAnsi"/>
          <w:sz w:val="24"/>
          <w:szCs w:val="24"/>
        </w:rPr>
        <w:t>service</w:t>
      </w:r>
      <w:r w:rsidR="005F0339" w:rsidRPr="00B67D0B">
        <w:rPr>
          <w:rFonts w:cstheme="minorHAnsi"/>
          <w:sz w:val="24"/>
          <w:szCs w:val="24"/>
        </w:rPr>
        <w:t>.</w:t>
      </w:r>
    </w:p>
    <w:p w14:paraId="39E4AB56" w14:textId="203F1669" w:rsidR="005F0339" w:rsidRPr="00B67D0B" w:rsidRDefault="00FA2AE1" w:rsidP="0081789E">
      <w:pPr>
        <w:rPr>
          <w:rFonts w:cstheme="minorHAnsi"/>
          <w:sz w:val="24"/>
          <w:szCs w:val="24"/>
        </w:rPr>
      </w:pPr>
      <w:r w:rsidRPr="00B67D0B">
        <w:rPr>
          <w:rFonts w:cstheme="minorHAnsi"/>
          <w:sz w:val="24"/>
          <w:szCs w:val="24"/>
        </w:rPr>
        <w:t xml:space="preserve">The service provision delivers a </w:t>
      </w:r>
      <w:r w:rsidR="009D3244">
        <w:rPr>
          <w:rFonts w:cstheme="minorHAnsi"/>
          <w:sz w:val="24"/>
          <w:szCs w:val="24"/>
        </w:rPr>
        <w:t>holistic a</w:t>
      </w:r>
      <w:r w:rsidRPr="00B67D0B">
        <w:rPr>
          <w:rFonts w:cstheme="minorHAnsi"/>
          <w:sz w:val="24"/>
          <w:szCs w:val="24"/>
        </w:rPr>
        <w:t>pproach that looks to communicate effectively and coherently with customers</w:t>
      </w:r>
      <w:r w:rsidR="00F37EC7" w:rsidRPr="00B67D0B">
        <w:rPr>
          <w:rFonts w:cstheme="minorHAnsi"/>
          <w:sz w:val="24"/>
          <w:szCs w:val="24"/>
        </w:rPr>
        <w:t xml:space="preserve"> and third parties at all stages </w:t>
      </w:r>
      <w:r w:rsidR="004E55B1" w:rsidRPr="00B67D0B">
        <w:rPr>
          <w:rFonts w:cstheme="minorHAnsi"/>
          <w:sz w:val="24"/>
          <w:szCs w:val="24"/>
        </w:rPr>
        <w:t>to</w:t>
      </w:r>
      <w:r w:rsidR="00F37EC7" w:rsidRPr="00B67D0B">
        <w:rPr>
          <w:rFonts w:cstheme="minorHAnsi"/>
          <w:sz w:val="24"/>
          <w:szCs w:val="24"/>
        </w:rPr>
        <w:t xml:space="preserve"> ensure we su</w:t>
      </w:r>
      <w:r w:rsidR="00DB29C5" w:rsidRPr="00B67D0B">
        <w:rPr>
          <w:rFonts w:cstheme="minorHAnsi"/>
          <w:sz w:val="24"/>
          <w:szCs w:val="24"/>
        </w:rPr>
        <w:t xml:space="preserve">pport our customers and provide </w:t>
      </w:r>
      <w:r w:rsidR="00F37EC7" w:rsidRPr="00B67D0B">
        <w:rPr>
          <w:rFonts w:cstheme="minorHAnsi"/>
          <w:sz w:val="24"/>
          <w:szCs w:val="24"/>
        </w:rPr>
        <w:t>added value to them.</w:t>
      </w:r>
      <w:r w:rsidR="00A71AEB" w:rsidRPr="00B67D0B">
        <w:rPr>
          <w:rFonts w:cstheme="minorHAnsi"/>
          <w:sz w:val="24"/>
          <w:szCs w:val="24"/>
        </w:rPr>
        <w:t xml:space="preserve"> </w:t>
      </w:r>
    </w:p>
    <w:p w14:paraId="00BF44F5" w14:textId="4402C8F8" w:rsidR="0081789E" w:rsidRPr="00B67D0B" w:rsidRDefault="00B73DE6" w:rsidP="0081789E">
      <w:pPr>
        <w:rPr>
          <w:rFonts w:cstheme="minorHAnsi"/>
          <w:sz w:val="24"/>
          <w:szCs w:val="24"/>
        </w:rPr>
      </w:pPr>
      <w:r w:rsidRPr="00B67D0B">
        <w:rPr>
          <w:rFonts w:cstheme="minorHAnsi"/>
          <w:sz w:val="24"/>
          <w:szCs w:val="24"/>
        </w:rPr>
        <w:t>The Income and Financial inclusion team</w:t>
      </w:r>
      <w:r w:rsidR="0081789E" w:rsidRPr="00B67D0B">
        <w:rPr>
          <w:rFonts w:cstheme="minorHAnsi"/>
          <w:sz w:val="24"/>
          <w:szCs w:val="24"/>
        </w:rPr>
        <w:t xml:space="preserve"> aim to:</w:t>
      </w:r>
    </w:p>
    <w:p w14:paraId="73D02E7E" w14:textId="77777777" w:rsidR="007B138B" w:rsidRDefault="007B138B" w:rsidP="007B138B">
      <w:pPr>
        <w:pStyle w:val="ListParagraph"/>
        <w:numPr>
          <w:ilvl w:val="0"/>
          <w:numId w:val="14"/>
        </w:numPr>
        <w:autoSpaceDE w:val="0"/>
        <w:autoSpaceDN w:val="0"/>
        <w:adjustRightInd w:val="0"/>
        <w:spacing w:after="0" w:line="240" w:lineRule="auto"/>
        <w:rPr>
          <w:rFonts w:cs="Arial"/>
          <w:sz w:val="24"/>
          <w:szCs w:val="24"/>
        </w:rPr>
      </w:pPr>
      <w:r>
        <w:rPr>
          <w:rFonts w:cs="Arial"/>
          <w:sz w:val="24"/>
          <w:szCs w:val="24"/>
        </w:rPr>
        <w:t>Deliver an efficient, effective, and consistent approach to income management and debt recovery</w:t>
      </w:r>
    </w:p>
    <w:p w14:paraId="149499B4" w14:textId="77777777" w:rsidR="007B138B" w:rsidRDefault="007B138B" w:rsidP="007B138B">
      <w:pPr>
        <w:pStyle w:val="ListParagraph"/>
        <w:numPr>
          <w:ilvl w:val="0"/>
          <w:numId w:val="14"/>
        </w:numPr>
        <w:autoSpaceDE w:val="0"/>
        <w:autoSpaceDN w:val="0"/>
        <w:adjustRightInd w:val="0"/>
        <w:spacing w:after="0" w:line="240" w:lineRule="auto"/>
        <w:rPr>
          <w:rFonts w:cs="Arial"/>
          <w:sz w:val="24"/>
          <w:szCs w:val="24"/>
        </w:rPr>
      </w:pPr>
      <w:r>
        <w:rPr>
          <w:rFonts w:cs="Arial"/>
          <w:sz w:val="24"/>
          <w:szCs w:val="24"/>
        </w:rPr>
        <w:t>Adopt a ‘firm but fair’ approach that reflects a commitment to creating sustainable tenancies which balances prevention, support, and recovery</w:t>
      </w:r>
    </w:p>
    <w:p w14:paraId="23D940AB" w14:textId="77777777" w:rsidR="007B138B" w:rsidRDefault="007B138B" w:rsidP="007B138B">
      <w:pPr>
        <w:pStyle w:val="ListParagraph"/>
        <w:numPr>
          <w:ilvl w:val="0"/>
          <w:numId w:val="14"/>
        </w:numPr>
        <w:autoSpaceDE w:val="0"/>
        <w:autoSpaceDN w:val="0"/>
        <w:adjustRightInd w:val="0"/>
        <w:spacing w:after="0" w:line="240" w:lineRule="auto"/>
        <w:rPr>
          <w:rFonts w:cs="Arial"/>
          <w:sz w:val="24"/>
          <w:szCs w:val="24"/>
        </w:rPr>
      </w:pPr>
      <w:r>
        <w:rPr>
          <w:rFonts w:cs="Arial"/>
          <w:sz w:val="24"/>
          <w:szCs w:val="24"/>
        </w:rPr>
        <w:t xml:space="preserve">Ensure customers have access to appropriate support to maximise their income, receive welfare benefits advice and referrals to other appropriate partners. </w:t>
      </w:r>
    </w:p>
    <w:p w14:paraId="6092B563" w14:textId="77777777" w:rsidR="007B138B" w:rsidRDefault="007B138B" w:rsidP="007B138B">
      <w:pPr>
        <w:pStyle w:val="ListParagraph"/>
        <w:numPr>
          <w:ilvl w:val="0"/>
          <w:numId w:val="14"/>
        </w:numPr>
        <w:autoSpaceDE w:val="0"/>
        <w:autoSpaceDN w:val="0"/>
        <w:adjustRightInd w:val="0"/>
        <w:spacing w:after="0" w:line="240" w:lineRule="auto"/>
        <w:rPr>
          <w:rFonts w:cs="Arial"/>
          <w:sz w:val="24"/>
          <w:szCs w:val="24"/>
        </w:rPr>
      </w:pPr>
      <w:r>
        <w:rPr>
          <w:rFonts w:cs="Arial"/>
          <w:sz w:val="24"/>
          <w:szCs w:val="24"/>
        </w:rPr>
        <w:t>Be respectful, inclusive, and clear in our communications with customers</w:t>
      </w:r>
    </w:p>
    <w:p w14:paraId="77458BED" w14:textId="77777777" w:rsidR="007B138B" w:rsidRDefault="007B138B" w:rsidP="007B138B">
      <w:pPr>
        <w:pStyle w:val="ListParagraph"/>
        <w:numPr>
          <w:ilvl w:val="0"/>
          <w:numId w:val="14"/>
        </w:numPr>
        <w:autoSpaceDE w:val="0"/>
        <w:autoSpaceDN w:val="0"/>
        <w:adjustRightInd w:val="0"/>
        <w:spacing w:after="0" w:line="240" w:lineRule="auto"/>
        <w:rPr>
          <w:rFonts w:cs="Arial"/>
          <w:sz w:val="24"/>
          <w:szCs w:val="24"/>
        </w:rPr>
      </w:pPr>
      <w:r>
        <w:rPr>
          <w:rFonts w:cs="Arial"/>
          <w:sz w:val="24"/>
          <w:szCs w:val="24"/>
        </w:rPr>
        <w:t>Provide an accessible and accountable income management service provision</w:t>
      </w:r>
    </w:p>
    <w:p w14:paraId="4215F1B1" w14:textId="77777777" w:rsidR="007B138B" w:rsidRDefault="007B138B" w:rsidP="007B138B">
      <w:pPr>
        <w:pStyle w:val="ListParagraph"/>
        <w:numPr>
          <w:ilvl w:val="0"/>
          <w:numId w:val="14"/>
        </w:numPr>
        <w:autoSpaceDE w:val="0"/>
        <w:autoSpaceDN w:val="0"/>
        <w:adjustRightInd w:val="0"/>
        <w:spacing w:after="0" w:line="240" w:lineRule="auto"/>
        <w:rPr>
          <w:rFonts w:cs="Arial"/>
          <w:sz w:val="24"/>
          <w:szCs w:val="24"/>
        </w:rPr>
      </w:pPr>
      <w:r>
        <w:rPr>
          <w:rFonts w:cs="Arial"/>
          <w:sz w:val="24"/>
          <w:szCs w:val="24"/>
        </w:rPr>
        <w:t>Ensure a value for money approach is embedded</w:t>
      </w:r>
    </w:p>
    <w:p w14:paraId="5EE5F109" w14:textId="77777777" w:rsidR="007B138B" w:rsidRDefault="007B138B" w:rsidP="007B138B">
      <w:pPr>
        <w:pStyle w:val="ListParagraph"/>
        <w:numPr>
          <w:ilvl w:val="0"/>
          <w:numId w:val="14"/>
        </w:numPr>
        <w:autoSpaceDE w:val="0"/>
        <w:autoSpaceDN w:val="0"/>
        <w:adjustRightInd w:val="0"/>
        <w:spacing w:after="0" w:line="240" w:lineRule="auto"/>
        <w:rPr>
          <w:rFonts w:cs="Arial"/>
          <w:sz w:val="24"/>
          <w:szCs w:val="24"/>
        </w:rPr>
      </w:pPr>
      <w:r>
        <w:rPr>
          <w:rFonts w:cs="Arial"/>
          <w:sz w:val="24"/>
          <w:szCs w:val="24"/>
        </w:rPr>
        <w:t xml:space="preserve">Ensure staff are aware of the framework and understand its aims </w:t>
      </w:r>
    </w:p>
    <w:p w14:paraId="365CC907" w14:textId="77777777" w:rsidR="007B138B" w:rsidRDefault="007B138B" w:rsidP="007B138B">
      <w:pPr>
        <w:pStyle w:val="ListParagraph"/>
        <w:numPr>
          <w:ilvl w:val="0"/>
          <w:numId w:val="14"/>
        </w:numPr>
        <w:autoSpaceDE w:val="0"/>
        <w:autoSpaceDN w:val="0"/>
        <w:adjustRightInd w:val="0"/>
        <w:spacing w:after="0" w:line="240" w:lineRule="auto"/>
        <w:rPr>
          <w:rFonts w:cs="Arial"/>
          <w:sz w:val="24"/>
          <w:szCs w:val="24"/>
        </w:rPr>
      </w:pPr>
      <w:r>
        <w:rPr>
          <w:rFonts w:cs="Arial"/>
          <w:sz w:val="24"/>
          <w:szCs w:val="24"/>
        </w:rPr>
        <w:lastRenderedPageBreak/>
        <w:t xml:space="preserve">Offer a strong tenancy support and financial inclusion service that looks to understand what the barriers are for customers and households to help directly and signpost appropriately for further and specialist support. </w:t>
      </w:r>
    </w:p>
    <w:p w14:paraId="36AC8BA8" w14:textId="70E07251" w:rsidR="0081789E" w:rsidRPr="00B67D0B" w:rsidRDefault="0081789E" w:rsidP="0081789E">
      <w:pPr>
        <w:rPr>
          <w:rFonts w:cstheme="minorHAnsi"/>
          <w:b/>
          <w:sz w:val="24"/>
          <w:szCs w:val="24"/>
        </w:rPr>
      </w:pPr>
    </w:p>
    <w:p w14:paraId="399C6CB4" w14:textId="77777777" w:rsidR="008772DB" w:rsidRPr="00B67D0B" w:rsidRDefault="008772DB" w:rsidP="008772DB">
      <w:pPr>
        <w:rPr>
          <w:rFonts w:cstheme="minorHAnsi"/>
          <w:sz w:val="24"/>
          <w:szCs w:val="24"/>
        </w:rPr>
      </w:pPr>
      <w:r w:rsidRPr="00B67D0B">
        <w:rPr>
          <w:rFonts w:cstheme="minorHAnsi"/>
          <w:sz w:val="24"/>
          <w:szCs w:val="24"/>
        </w:rPr>
        <w:t>The Income Pre-Tenancy team specifically aims to:</w:t>
      </w:r>
    </w:p>
    <w:p w14:paraId="41031440" w14:textId="51FEC347" w:rsidR="008772DB" w:rsidRPr="00B67D0B" w:rsidRDefault="008772DB" w:rsidP="008772DB">
      <w:pPr>
        <w:pStyle w:val="ListParagraph"/>
        <w:numPr>
          <w:ilvl w:val="0"/>
          <w:numId w:val="2"/>
        </w:numPr>
        <w:autoSpaceDE w:val="0"/>
        <w:autoSpaceDN w:val="0"/>
        <w:adjustRightInd w:val="0"/>
        <w:spacing w:after="0" w:line="240" w:lineRule="auto"/>
        <w:rPr>
          <w:rFonts w:cstheme="minorHAnsi"/>
          <w:sz w:val="24"/>
          <w:szCs w:val="24"/>
        </w:rPr>
      </w:pPr>
      <w:r w:rsidRPr="00B67D0B">
        <w:rPr>
          <w:rFonts w:cstheme="minorHAnsi"/>
          <w:sz w:val="24"/>
          <w:szCs w:val="24"/>
        </w:rPr>
        <w:t xml:space="preserve">Deliver an efficient, </w:t>
      </w:r>
      <w:r w:rsidR="007B138B" w:rsidRPr="00B67D0B">
        <w:rPr>
          <w:rFonts w:cstheme="minorHAnsi"/>
          <w:sz w:val="24"/>
          <w:szCs w:val="24"/>
        </w:rPr>
        <w:t>effective,</w:t>
      </w:r>
      <w:r w:rsidRPr="00B67D0B">
        <w:rPr>
          <w:rFonts w:cstheme="minorHAnsi"/>
          <w:sz w:val="24"/>
          <w:szCs w:val="24"/>
        </w:rPr>
        <w:t xml:space="preserve"> and consistent approach to affordability assessments.</w:t>
      </w:r>
    </w:p>
    <w:p w14:paraId="2E2CB371" w14:textId="2831B027" w:rsidR="008772DB" w:rsidRPr="00B67D0B" w:rsidRDefault="008772DB" w:rsidP="008772DB">
      <w:pPr>
        <w:pStyle w:val="ListParagraph"/>
        <w:numPr>
          <w:ilvl w:val="0"/>
          <w:numId w:val="2"/>
        </w:numPr>
        <w:autoSpaceDE w:val="0"/>
        <w:autoSpaceDN w:val="0"/>
        <w:adjustRightInd w:val="0"/>
        <w:spacing w:after="0" w:line="240" w:lineRule="auto"/>
        <w:rPr>
          <w:rFonts w:cstheme="minorHAnsi"/>
          <w:sz w:val="24"/>
          <w:szCs w:val="24"/>
        </w:rPr>
      </w:pPr>
      <w:r w:rsidRPr="00B67D0B">
        <w:rPr>
          <w:rFonts w:cstheme="minorHAnsi"/>
          <w:sz w:val="24"/>
          <w:szCs w:val="24"/>
        </w:rPr>
        <w:t xml:space="preserve">Be respectful, </w:t>
      </w:r>
      <w:r w:rsidR="007B138B" w:rsidRPr="00B67D0B">
        <w:rPr>
          <w:rFonts w:cstheme="minorHAnsi"/>
          <w:sz w:val="24"/>
          <w:szCs w:val="24"/>
        </w:rPr>
        <w:t>inclusive,</w:t>
      </w:r>
      <w:r w:rsidRPr="00B67D0B">
        <w:rPr>
          <w:rFonts w:cstheme="minorHAnsi"/>
          <w:sz w:val="24"/>
          <w:szCs w:val="24"/>
        </w:rPr>
        <w:t xml:space="preserve"> and clear in our communications with customers.</w:t>
      </w:r>
    </w:p>
    <w:p w14:paraId="03ECC7E0" w14:textId="5B55C3C8" w:rsidR="008772DB" w:rsidRPr="00B67D0B" w:rsidRDefault="008772DB" w:rsidP="008772DB">
      <w:pPr>
        <w:pStyle w:val="ListParagraph"/>
        <w:numPr>
          <w:ilvl w:val="0"/>
          <w:numId w:val="2"/>
        </w:numPr>
        <w:autoSpaceDE w:val="0"/>
        <w:autoSpaceDN w:val="0"/>
        <w:adjustRightInd w:val="0"/>
        <w:spacing w:after="0" w:line="240" w:lineRule="auto"/>
        <w:rPr>
          <w:rFonts w:cstheme="minorHAnsi"/>
          <w:sz w:val="24"/>
          <w:szCs w:val="24"/>
        </w:rPr>
      </w:pPr>
      <w:r w:rsidRPr="00B67D0B">
        <w:rPr>
          <w:rFonts w:cstheme="minorHAnsi"/>
          <w:sz w:val="24"/>
          <w:szCs w:val="24"/>
        </w:rPr>
        <w:t xml:space="preserve">Give customers access to support which helps to maximise their income, receive welfare benefit </w:t>
      </w:r>
      <w:r w:rsidR="007B138B" w:rsidRPr="00B67D0B">
        <w:rPr>
          <w:rFonts w:cstheme="minorHAnsi"/>
          <w:sz w:val="24"/>
          <w:szCs w:val="24"/>
        </w:rPr>
        <w:t>advice,</w:t>
      </w:r>
      <w:r w:rsidRPr="00B67D0B">
        <w:rPr>
          <w:rFonts w:cstheme="minorHAnsi"/>
          <w:sz w:val="24"/>
          <w:szCs w:val="24"/>
        </w:rPr>
        <w:t xml:space="preserve"> and provide referrals to other appropriate partners. </w:t>
      </w:r>
    </w:p>
    <w:p w14:paraId="2DBC9D57" w14:textId="77777777" w:rsidR="008772DB" w:rsidRPr="00B67D0B" w:rsidRDefault="008772DB" w:rsidP="008772DB">
      <w:pPr>
        <w:pStyle w:val="ListParagraph"/>
        <w:numPr>
          <w:ilvl w:val="0"/>
          <w:numId w:val="2"/>
        </w:numPr>
        <w:autoSpaceDE w:val="0"/>
        <w:autoSpaceDN w:val="0"/>
        <w:adjustRightInd w:val="0"/>
        <w:spacing w:after="0" w:line="240" w:lineRule="auto"/>
        <w:rPr>
          <w:rFonts w:cstheme="minorHAnsi"/>
          <w:sz w:val="24"/>
          <w:szCs w:val="24"/>
        </w:rPr>
      </w:pPr>
      <w:r w:rsidRPr="00B67D0B">
        <w:rPr>
          <w:rFonts w:cstheme="minorHAnsi"/>
          <w:sz w:val="24"/>
          <w:szCs w:val="24"/>
        </w:rPr>
        <w:t>Look to identify barriers for customers and work with them to break these down.</w:t>
      </w:r>
    </w:p>
    <w:p w14:paraId="37ECD897" w14:textId="77777777" w:rsidR="008772DB" w:rsidRPr="00B67D0B" w:rsidRDefault="008772DB" w:rsidP="008772DB">
      <w:pPr>
        <w:pStyle w:val="ListParagraph"/>
        <w:numPr>
          <w:ilvl w:val="0"/>
          <w:numId w:val="2"/>
        </w:numPr>
        <w:autoSpaceDE w:val="0"/>
        <w:autoSpaceDN w:val="0"/>
        <w:adjustRightInd w:val="0"/>
        <w:spacing w:after="0" w:line="240" w:lineRule="auto"/>
        <w:rPr>
          <w:rFonts w:cstheme="minorHAnsi"/>
          <w:sz w:val="24"/>
          <w:szCs w:val="24"/>
        </w:rPr>
      </w:pPr>
      <w:r w:rsidRPr="00B67D0B">
        <w:rPr>
          <w:rFonts w:cstheme="minorHAnsi"/>
          <w:sz w:val="24"/>
          <w:szCs w:val="24"/>
        </w:rPr>
        <w:t>Empower customers to take control of their financial health and sustain a tenancy.</w:t>
      </w:r>
    </w:p>
    <w:p w14:paraId="143DE55C" w14:textId="77777777" w:rsidR="008772DB" w:rsidRPr="00B67D0B" w:rsidRDefault="008772DB" w:rsidP="008772DB">
      <w:pPr>
        <w:pStyle w:val="ListParagraph"/>
        <w:numPr>
          <w:ilvl w:val="0"/>
          <w:numId w:val="2"/>
        </w:numPr>
        <w:autoSpaceDE w:val="0"/>
        <w:autoSpaceDN w:val="0"/>
        <w:adjustRightInd w:val="0"/>
        <w:spacing w:after="0" w:line="240" w:lineRule="auto"/>
        <w:rPr>
          <w:rFonts w:cstheme="minorHAnsi"/>
          <w:sz w:val="24"/>
          <w:szCs w:val="24"/>
        </w:rPr>
      </w:pPr>
      <w:r w:rsidRPr="00B67D0B">
        <w:rPr>
          <w:rFonts w:cstheme="minorHAnsi"/>
          <w:sz w:val="24"/>
          <w:szCs w:val="24"/>
        </w:rPr>
        <w:t>Ensure staff are aware of the framework and understand its aims.</w:t>
      </w:r>
    </w:p>
    <w:p w14:paraId="789FDCF8" w14:textId="77777777" w:rsidR="005F0339" w:rsidRPr="00B67D0B" w:rsidRDefault="005F0339" w:rsidP="0081789E">
      <w:pPr>
        <w:rPr>
          <w:rFonts w:cstheme="minorHAnsi"/>
          <w:bCs/>
          <w:sz w:val="24"/>
          <w:szCs w:val="24"/>
        </w:rPr>
      </w:pPr>
    </w:p>
    <w:p w14:paraId="740BC304" w14:textId="23A98BEA" w:rsidR="0081789E" w:rsidRPr="003271A7" w:rsidRDefault="00F8255A" w:rsidP="0081789E">
      <w:pPr>
        <w:rPr>
          <w:rFonts w:cstheme="minorHAnsi"/>
          <w:sz w:val="28"/>
          <w:szCs w:val="28"/>
          <w:u w:val="single"/>
        </w:rPr>
      </w:pPr>
      <w:r w:rsidRPr="003271A7">
        <w:rPr>
          <w:rFonts w:cstheme="minorHAnsi"/>
          <w:b/>
          <w:sz w:val="28"/>
          <w:szCs w:val="28"/>
          <w:u w:val="single"/>
        </w:rPr>
        <w:t>3</w:t>
      </w:r>
      <w:r w:rsidR="0081789E" w:rsidRPr="003271A7">
        <w:rPr>
          <w:rFonts w:cstheme="minorHAnsi"/>
          <w:b/>
          <w:sz w:val="28"/>
          <w:szCs w:val="28"/>
          <w:u w:val="single"/>
        </w:rPr>
        <w:t xml:space="preserve">.0 </w:t>
      </w:r>
      <w:r w:rsidR="003D76E2" w:rsidRPr="003271A7">
        <w:rPr>
          <w:rFonts w:cstheme="minorHAnsi"/>
          <w:b/>
          <w:sz w:val="28"/>
          <w:szCs w:val="28"/>
          <w:u w:val="single"/>
        </w:rPr>
        <w:t>The Procedure</w:t>
      </w:r>
    </w:p>
    <w:p w14:paraId="024574A1" w14:textId="7465912C" w:rsidR="0081789E" w:rsidRPr="00B67D0B" w:rsidRDefault="00F8255A" w:rsidP="00B67D0B">
      <w:pPr>
        <w:spacing w:after="0"/>
        <w:rPr>
          <w:rFonts w:cstheme="minorHAnsi"/>
          <w:b/>
          <w:sz w:val="24"/>
          <w:szCs w:val="24"/>
        </w:rPr>
      </w:pPr>
      <w:bookmarkStart w:id="0" w:name="_Hlk129682273"/>
      <w:r>
        <w:rPr>
          <w:rFonts w:cstheme="minorHAnsi"/>
          <w:b/>
          <w:sz w:val="24"/>
          <w:szCs w:val="24"/>
        </w:rPr>
        <w:t>3</w:t>
      </w:r>
      <w:r w:rsidR="0081789E" w:rsidRPr="00B67D0B">
        <w:rPr>
          <w:rFonts w:cstheme="minorHAnsi"/>
          <w:b/>
          <w:sz w:val="24"/>
          <w:szCs w:val="24"/>
        </w:rPr>
        <w:t xml:space="preserve">.1 </w:t>
      </w:r>
      <w:r w:rsidR="008772DB" w:rsidRPr="00B67D0B">
        <w:rPr>
          <w:rFonts w:cstheme="minorHAnsi"/>
          <w:b/>
          <w:sz w:val="24"/>
          <w:szCs w:val="24"/>
        </w:rPr>
        <w:t>Prioritisation</w:t>
      </w:r>
    </w:p>
    <w:bookmarkEnd w:id="0"/>
    <w:p w14:paraId="2FE527D0" w14:textId="05351BF3" w:rsidR="003D76E2" w:rsidRPr="00B67D0B" w:rsidRDefault="003D76E2" w:rsidP="0081789E">
      <w:pPr>
        <w:spacing w:after="0"/>
        <w:rPr>
          <w:rFonts w:cstheme="minorHAnsi"/>
          <w:b/>
          <w:sz w:val="24"/>
          <w:szCs w:val="24"/>
        </w:rPr>
      </w:pPr>
    </w:p>
    <w:p w14:paraId="679233A9" w14:textId="4B4DD9BA" w:rsidR="008772DB" w:rsidRPr="00B67D0B" w:rsidRDefault="008772DB" w:rsidP="008772DB">
      <w:pPr>
        <w:rPr>
          <w:rFonts w:cstheme="minorHAnsi"/>
          <w:sz w:val="24"/>
          <w:szCs w:val="24"/>
        </w:rPr>
      </w:pPr>
      <w:r w:rsidRPr="00B67D0B">
        <w:rPr>
          <w:rFonts w:cstheme="minorHAnsi"/>
          <w:sz w:val="24"/>
          <w:szCs w:val="24"/>
        </w:rPr>
        <w:t xml:space="preserve">All affordability assessments (I&amp;E’s) will be worked in order of receipt / booking.  </w:t>
      </w:r>
    </w:p>
    <w:p w14:paraId="6ED4B9B3" w14:textId="2A330D3E" w:rsidR="008772DB" w:rsidRPr="00B67D0B" w:rsidRDefault="008772DB" w:rsidP="008772DB">
      <w:pPr>
        <w:rPr>
          <w:rFonts w:cstheme="minorHAnsi"/>
          <w:sz w:val="24"/>
          <w:szCs w:val="24"/>
        </w:rPr>
      </w:pPr>
      <w:r w:rsidRPr="00B67D0B">
        <w:rPr>
          <w:rFonts w:cstheme="minorHAnsi"/>
          <w:sz w:val="24"/>
          <w:szCs w:val="24"/>
        </w:rPr>
        <w:t xml:space="preserve">Should a future I&amp;E take priority it is the responsibility of the requesting team to </w:t>
      </w:r>
      <w:proofErr w:type="gramStart"/>
      <w:r w:rsidRPr="00B67D0B">
        <w:rPr>
          <w:rFonts w:cstheme="minorHAnsi"/>
          <w:sz w:val="24"/>
          <w:szCs w:val="24"/>
        </w:rPr>
        <w:t>make arrangements</w:t>
      </w:r>
      <w:proofErr w:type="gramEnd"/>
      <w:r w:rsidRPr="00B67D0B">
        <w:rPr>
          <w:rFonts w:cstheme="minorHAnsi"/>
          <w:sz w:val="24"/>
          <w:szCs w:val="24"/>
        </w:rPr>
        <w:t xml:space="preserve"> for any displaced bookings to be rescheduled.</w:t>
      </w:r>
    </w:p>
    <w:p w14:paraId="246D1942" w14:textId="77777777" w:rsidR="003271A7" w:rsidRDefault="003271A7" w:rsidP="00F8255A">
      <w:pPr>
        <w:spacing w:after="0"/>
        <w:rPr>
          <w:rFonts w:cstheme="minorHAnsi"/>
          <w:b/>
          <w:sz w:val="24"/>
          <w:szCs w:val="24"/>
        </w:rPr>
      </w:pPr>
    </w:p>
    <w:p w14:paraId="0E6AD083" w14:textId="6C61342F" w:rsidR="008772DB" w:rsidRDefault="00F8255A" w:rsidP="00F8255A">
      <w:pPr>
        <w:spacing w:after="0"/>
        <w:rPr>
          <w:rFonts w:cstheme="minorHAnsi"/>
          <w:b/>
          <w:sz w:val="24"/>
          <w:szCs w:val="24"/>
        </w:rPr>
      </w:pPr>
      <w:r>
        <w:rPr>
          <w:rFonts w:cstheme="minorHAnsi"/>
          <w:b/>
          <w:sz w:val="24"/>
          <w:szCs w:val="24"/>
        </w:rPr>
        <w:t>3.2 I</w:t>
      </w:r>
      <w:r w:rsidR="009D7132">
        <w:rPr>
          <w:rFonts w:cstheme="minorHAnsi"/>
          <w:b/>
          <w:sz w:val="24"/>
          <w:szCs w:val="24"/>
        </w:rPr>
        <w:t>ncome and Expenditure (I</w:t>
      </w:r>
      <w:r>
        <w:rPr>
          <w:rFonts w:cstheme="minorHAnsi"/>
          <w:b/>
          <w:sz w:val="24"/>
          <w:szCs w:val="24"/>
        </w:rPr>
        <w:t>&amp;E</w:t>
      </w:r>
      <w:r w:rsidR="009D7132">
        <w:rPr>
          <w:rFonts w:cstheme="minorHAnsi"/>
          <w:b/>
          <w:sz w:val="24"/>
          <w:szCs w:val="24"/>
        </w:rPr>
        <w:t>)</w:t>
      </w:r>
      <w:r>
        <w:rPr>
          <w:rFonts w:cstheme="minorHAnsi"/>
          <w:b/>
          <w:sz w:val="24"/>
          <w:szCs w:val="24"/>
        </w:rPr>
        <w:t xml:space="preserve"> Booking</w:t>
      </w:r>
    </w:p>
    <w:p w14:paraId="3CDC8437" w14:textId="77777777" w:rsidR="003271A7" w:rsidRPr="00F8255A" w:rsidRDefault="003271A7" w:rsidP="00F8255A">
      <w:pPr>
        <w:spacing w:after="0"/>
        <w:rPr>
          <w:rFonts w:cstheme="minorHAnsi"/>
          <w:b/>
          <w:sz w:val="24"/>
          <w:szCs w:val="24"/>
        </w:rPr>
      </w:pPr>
    </w:p>
    <w:p w14:paraId="1086BC5C" w14:textId="1E71A903" w:rsidR="008772DB" w:rsidRPr="00B67D0B" w:rsidRDefault="007B138B" w:rsidP="008772DB">
      <w:pPr>
        <w:rPr>
          <w:rFonts w:cstheme="minorHAnsi"/>
          <w:sz w:val="24"/>
          <w:szCs w:val="24"/>
        </w:rPr>
      </w:pPr>
      <w:r>
        <w:rPr>
          <w:rFonts w:cstheme="minorHAnsi"/>
          <w:sz w:val="24"/>
          <w:szCs w:val="24"/>
        </w:rPr>
        <w:t>It’s your move (</w:t>
      </w:r>
      <w:r w:rsidR="008772DB" w:rsidRPr="00B67D0B">
        <w:rPr>
          <w:rFonts w:cstheme="minorHAnsi"/>
          <w:sz w:val="24"/>
          <w:szCs w:val="24"/>
        </w:rPr>
        <w:t>IYM</w:t>
      </w:r>
      <w:r>
        <w:rPr>
          <w:rFonts w:cstheme="minorHAnsi"/>
          <w:sz w:val="24"/>
          <w:szCs w:val="24"/>
        </w:rPr>
        <w:t>)</w:t>
      </w:r>
      <w:r w:rsidR="00F8255A">
        <w:rPr>
          <w:rFonts w:cstheme="minorHAnsi"/>
          <w:sz w:val="24"/>
          <w:szCs w:val="24"/>
        </w:rPr>
        <w:t xml:space="preserve">, </w:t>
      </w:r>
      <w:r>
        <w:rPr>
          <w:rFonts w:cstheme="minorHAnsi"/>
          <w:sz w:val="24"/>
          <w:szCs w:val="24"/>
        </w:rPr>
        <w:t>first</w:t>
      </w:r>
      <w:r w:rsidR="009D7132">
        <w:rPr>
          <w:rFonts w:cstheme="minorHAnsi"/>
          <w:sz w:val="24"/>
          <w:szCs w:val="24"/>
        </w:rPr>
        <w:t xml:space="preserve"> financial assessment</w:t>
      </w:r>
      <w:r w:rsidR="00F8255A">
        <w:rPr>
          <w:rFonts w:cstheme="minorHAnsi"/>
          <w:sz w:val="24"/>
          <w:szCs w:val="24"/>
        </w:rPr>
        <w:t xml:space="preserve"> and all </w:t>
      </w:r>
      <w:r>
        <w:rPr>
          <w:rFonts w:cstheme="minorHAnsi"/>
          <w:sz w:val="24"/>
          <w:szCs w:val="24"/>
        </w:rPr>
        <w:t>p</w:t>
      </w:r>
      <w:r w:rsidR="00F8255A">
        <w:rPr>
          <w:rFonts w:cstheme="minorHAnsi"/>
          <w:sz w:val="24"/>
          <w:szCs w:val="24"/>
        </w:rPr>
        <w:t>anel</w:t>
      </w:r>
      <w:r w:rsidR="008772DB" w:rsidRPr="00B67D0B">
        <w:rPr>
          <w:rFonts w:cstheme="minorHAnsi"/>
          <w:sz w:val="24"/>
          <w:szCs w:val="24"/>
        </w:rPr>
        <w:t xml:space="preserve"> requests</w:t>
      </w:r>
      <w:r>
        <w:rPr>
          <w:rFonts w:cstheme="minorHAnsi"/>
          <w:sz w:val="24"/>
          <w:szCs w:val="24"/>
        </w:rPr>
        <w:t xml:space="preserve"> are</w:t>
      </w:r>
      <w:r w:rsidR="008772DB" w:rsidRPr="00B67D0B">
        <w:rPr>
          <w:rFonts w:cstheme="minorHAnsi"/>
          <w:sz w:val="24"/>
          <w:szCs w:val="24"/>
        </w:rPr>
        <w:t xml:space="preserve"> to be booked into available appointment slots in Stopford</w:t>
      </w:r>
      <w:r w:rsidR="009D7132">
        <w:rPr>
          <w:rFonts w:cstheme="minorHAnsi"/>
          <w:sz w:val="24"/>
          <w:szCs w:val="24"/>
        </w:rPr>
        <w:t xml:space="preserve"> in relation to the income and expenditure</w:t>
      </w:r>
      <w:r w:rsidR="008772DB" w:rsidRPr="00B67D0B">
        <w:rPr>
          <w:rFonts w:cstheme="minorHAnsi"/>
          <w:sz w:val="24"/>
          <w:szCs w:val="24"/>
        </w:rPr>
        <w:t>.</w:t>
      </w:r>
      <w:r w:rsidR="009D3244">
        <w:rPr>
          <w:rFonts w:cstheme="minorHAnsi"/>
          <w:sz w:val="24"/>
          <w:szCs w:val="24"/>
        </w:rPr>
        <w:t xml:space="preserve"> Stopford is </w:t>
      </w:r>
      <w:r w:rsidR="009D7132">
        <w:rPr>
          <w:rFonts w:cstheme="minorHAnsi"/>
          <w:sz w:val="24"/>
          <w:szCs w:val="24"/>
        </w:rPr>
        <w:t xml:space="preserve">a third-party </w:t>
      </w:r>
      <w:r w:rsidR="009D3244">
        <w:rPr>
          <w:rFonts w:cstheme="minorHAnsi"/>
          <w:sz w:val="24"/>
          <w:szCs w:val="24"/>
        </w:rPr>
        <w:t xml:space="preserve">system </w:t>
      </w:r>
      <w:r w:rsidR="009D7132">
        <w:rPr>
          <w:rFonts w:cstheme="minorHAnsi"/>
          <w:sz w:val="24"/>
          <w:szCs w:val="24"/>
        </w:rPr>
        <w:t xml:space="preserve">that is utilised by Housing Options colleagues </w:t>
      </w:r>
      <w:r w:rsidR="009D3244">
        <w:rPr>
          <w:rFonts w:cstheme="minorHAnsi"/>
          <w:sz w:val="24"/>
          <w:szCs w:val="24"/>
        </w:rPr>
        <w:t>to book I&amp;E appointments.</w:t>
      </w:r>
      <w:r w:rsidR="009D7132">
        <w:rPr>
          <w:rFonts w:cstheme="minorHAnsi"/>
          <w:sz w:val="24"/>
          <w:szCs w:val="24"/>
        </w:rPr>
        <w:t xml:space="preserve"> </w:t>
      </w:r>
    </w:p>
    <w:p w14:paraId="1BF4DD6E" w14:textId="668B0736" w:rsidR="008772DB" w:rsidRPr="00B67D0B" w:rsidRDefault="009D7132" w:rsidP="008772DB">
      <w:pPr>
        <w:rPr>
          <w:rFonts w:cstheme="minorHAnsi"/>
          <w:sz w:val="24"/>
          <w:szCs w:val="24"/>
        </w:rPr>
      </w:pPr>
      <w:r>
        <w:rPr>
          <w:rFonts w:cstheme="minorHAnsi"/>
          <w:sz w:val="24"/>
          <w:szCs w:val="24"/>
        </w:rPr>
        <w:t xml:space="preserve">The request for </w:t>
      </w:r>
      <w:r w:rsidR="007A5453">
        <w:rPr>
          <w:rFonts w:cstheme="minorHAnsi"/>
          <w:sz w:val="24"/>
          <w:szCs w:val="24"/>
        </w:rPr>
        <w:t xml:space="preserve">Homeless I&amp;Es </w:t>
      </w:r>
      <w:r w:rsidR="009D3244">
        <w:rPr>
          <w:rFonts w:cstheme="minorHAnsi"/>
          <w:sz w:val="24"/>
          <w:szCs w:val="24"/>
        </w:rPr>
        <w:t xml:space="preserve">should be </w:t>
      </w:r>
      <w:r w:rsidR="008772DB" w:rsidRPr="00B67D0B">
        <w:rPr>
          <w:rFonts w:cstheme="minorHAnsi"/>
          <w:sz w:val="24"/>
          <w:szCs w:val="24"/>
        </w:rPr>
        <w:t xml:space="preserve">sent </w:t>
      </w:r>
      <w:r>
        <w:rPr>
          <w:rFonts w:cstheme="minorHAnsi"/>
          <w:sz w:val="24"/>
          <w:szCs w:val="24"/>
        </w:rPr>
        <w:t xml:space="preserve">to the Income Pre-Tenancy mailbox </w:t>
      </w:r>
      <w:r w:rsidR="008772DB" w:rsidRPr="00B67D0B">
        <w:rPr>
          <w:rFonts w:cstheme="minorHAnsi"/>
          <w:sz w:val="24"/>
          <w:szCs w:val="24"/>
        </w:rPr>
        <w:t xml:space="preserve">with all supporting information attached to </w:t>
      </w:r>
      <w:r w:rsidR="009D3244">
        <w:rPr>
          <w:rFonts w:cstheme="minorHAnsi"/>
          <w:sz w:val="24"/>
          <w:szCs w:val="24"/>
        </w:rPr>
        <w:t>Housing Management System</w:t>
      </w:r>
      <w:r w:rsidR="008772DB" w:rsidRPr="00B67D0B">
        <w:rPr>
          <w:rFonts w:cstheme="minorHAnsi"/>
          <w:sz w:val="24"/>
          <w:szCs w:val="24"/>
        </w:rPr>
        <w:t xml:space="preserve">. </w:t>
      </w:r>
      <w:r w:rsidR="009D3244">
        <w:rPr>
          <w:rFonts w:cstheme="minorHAnsi"/>
          <w:sz w:val="24"/>
          <w:szCs w:val="24"/>
        </w:rPr>
        <w:t xml:space="preserve">The request will be sent from the </w:t>
      </w:r>
      <w:r>
        <w:rPr>
          <w:rFonts w:cstheme="minorHAnsi"/>
          <w:sz w:val="24"/>
          <w:szCs w:val="24"/>
        </w:rPr>
        <w:t xml:space="preserve">specific </w:t>
      </w:r>
      <w:r w:rsidR="009D3244">
        <w:rPr>
          <w:rFonts w:cstheme="minorHAnsi"/>
          <w:sz w:val="24"/>
          <w:szCs w:val="24"/>
        </w:rPr>
        <w:t>homeless officer dealing with the customers application.</w:t>
      </w:r>
    </w:p>
    <w:p w14:paraId="1BDF8DCB" w14:textId="3DB49763" w:rsidR="008772DB" w:rsidRPr="00B67D0B" w:rsidRDefault="008772DB" w:rsidP="008772DB">
      <w:pPr>
        <w:rPr>
          <w:rFonts w:cstheme="minorHAnsi"/>
          <w:sz w:val="24"/>
          <w:szCs w:val="24"/>
        </w:rPr>
      </w:pPr>
      <w:r w:rsidRPr="00B67D0B">
        <w:rPr>
          <w:rFonts w:cstheme="minorHAnsi"/>
          <w:sz w:val="24"/>
          <w:szCs w:val="24"/>
        </w:rPr>
        <w:t xml:space="preserve">All supporting information should be attached before a booking is made or an email request is sent, unless discussed with and agreed by the </w:t>
      </w:r>
      <w:bookmarkStart w:id="1" w:name="_Hlk148448536"/>
      <w:r w:rsidR="00B331B0">
        <w:rPr>
          <w:rFonts w:cstheme="minorHAnsi"/>
          <w:sz w:val="24"/>
          <w:szCs w:val="24"/>
        </w:rPr>
        <w:t>Financial Inclusion Coordinator</w:t>
      </w:r>
      <w:bookmarkEnd w:id="1"/>
      <w:r w:rsidRPr="00B67D0B">
        <w:rPr>
          <w:rFonts w:cstheme="minorHAnsi"/>
          <w:sz w:val="24"/>
          <w:szCs w:val="24"/>
        </w:rPr>
        <w:t xml:space="preserve">.  </w:t>
      </w:r>
    </w:p>
    <w:p w14:paraId="2923B78F" w14:textId="77777777" w:rsidR="009566ED" w:rsidRPr="00B67D0B" w:rsidRDefault="009566ED" w:rsidP="009566ED">
      <w:pPr>
        <w:spacing w:after="0"/>
        <w:rPr>
          <w:rFonts w:cstheme="minorHAnsi"/>
          <w:bCs/>
          <w:sz w:val="24"/>
          <w:szCs w:val="24"/>
        </w:rPr>
      </w:pPr>
    </w:p>
    <w:p w14:paraId="25D6AFAA" w14:textId="78AC8E3B" w:rsidR="00D43ADB" w:rsidRPr="00B67D0B" w:rsidRDefault="00F8255A" w:rsidP="00D43ADB">
      <w:pPr>
        <w:spacing w:after="0"/>
        <w:rPr>
          <w:rFonts w:cstheme="minorHAnsi"/>
          <w:b/>
          <w:sz w:val="24"/>
          <w:szCs w:val="24"/>
        </w:rPr>
      </w:pPr>
      <w:bookmarkStart w:id="2" w:name="_Hlk129685822"/>
      <w:r>
        <w:rPr>
          <w:rFonts w:cstheme="minorHAnsi"/>
          <w:b/>
          <w:sz w:val="24"/>
          <w:szCs w:val="24"/>
        </w:rPr>
        <w:t>3</w:t>
      </w:r>
      <w:r w:rsidR="00D43ADB" w:rsidRPr="00B67D0B">
        <w:rPr>
          <w:rFonts w:cstheme="minorHAnsi"/>
          <w:b/>
          <w:sz w:val="24"/>
          <w:szCs w:val="24"/>
        </w:rPr>
        <w:t xml:space="preserve">.3 </w:t>
      </w:r>
      <w:r w:rsidR="008772DB" w:rsidRPr="00B67D0B">
        <w:rPr>
          <w:rFonts w:cstheme="minorHAnsi"/>
          <w:b/>
          <w:sz w:val="24"/>
          <w:szCs w:val="24"/>
        </w:rPr>
        <w:t>Supporting Financial Information</w:t>
      </w:r>
    </w:p>
    <w:bookmarkEnd w:id="2"/>
    <w:p w14:paraId="3BABBAC9" w14:textId="46298AEF" w:rsidR="00D43ADB" w:rsidRPr="00B67D0B" w:rsidRDefault="00D43ADB" w:rsidP="00D43ADB">
      <w:pPr>
        <w:spacing w:after="0"/>
        <w:rPr>
          <w:rFonts w:cstheme="minorHAnsi"/>
          <w:b/>
          <w:sz w:val="24"/>
          <w:szCs w:val="24"/>
        </w:rPr>
      </w:pPr>
    </w:p>
    <w:p w14:paraId="7C3AD99A" w14:textId="453D42DD" w:rsidR="009D3244" w:rsidRDefault="009D3244" w:rsidP="008772DB">
      <w:pPr>
        <w:rPr>
          <w:rFonts w:cstheme="minorHAnsi"/>
          <w:sz w:val="24"/>
          <w:szCs w:val="24"/>
        </w:rPr>
      </w:pPr>
      <w:r>
        <w:rPr>
          <w:rFonts w:cstheme="minorHAnsi"/>
          <w:sz w:val="24"/>
          <w:szCs w:val="24"/>
        </w:rPr>
        <w:t xml:space="preserve">To ensure the appointment can flow smoothly, supporting information is required which should be gathered by the officer(s) dealing with the application.  In usual circumstances these will be in the Homeless or Key Choices teams.  Once supporting information is </w:t>
      </w:r>
      <w:r>
        <w:rPr>
          <w:rFonts w:cstheme="minorHAnsi"/>
          <w:sz w:val="24"/>
          <w:szCs w:val="24"/>
        </w:rPr>
        <w:lastRenderedPageBreak/>
        <w:t xml:space="preserve">gathered it should be uploaded to the customer application on </w:t>
      </w:r>
      <w:r w:rsidR="009D7132">
        <w:rPr>
          <w:rFonts w:cstheme="minorHAnsi"/>
          <w:sz w:val="24"/>
          <w:szCs w:val="24"/>
        </w:rPr>
        <w:t>the Housing Management System</w:t>
      </w:r>
      <w:r>
        <w:rPr>
          <w:rFonts w:cstheme="minorHAnsi"/>
          <w:sz w:val="24"/>
          <w:szCs w:val="24"/>
        </w:rPr>
        <w:t>.</w:t>
      </w:r>
    </w:p>
    <w:p w14:paraId="39731FA3" w14:textId="2A32DC51" w:rsidR="008772DB" w:rsidRPr="00B67D0B" w:rsidRDefault="008772DB" w:rsidP="008772DB">
      <w:pPr>
        <w:rPr>
          <w:rFonts w:cstheme="minorHAnsi"/>
          <w:sz w:val="24"/>
          <w:szCs w:val="24"/>
        </w:rPr>
      </w:pPr>
      <w:r w:rsidRPr="00B67D0B">
        <w:rPr>
          <w:rFonts w:cstheme="minorHAnsi"/>
          <w:sz w:val="24"/>
          <w:szCs w:val="24"/>
        </w:rPr>
        <w:t>Supporting information includes, but not limited to:</w:t>
      </w:r>
    </w:p>
    <w:p w14:paraId="26B23890" w14:textId="77777777" w:rsidR="007A5453" w:rsidRDefault="008772DB" w:rsidP="008772DB">
      <w:pPr>
        <w:pStyle w:val="ListParagraph"/>
        <w:numPr>
          <w:ilvl w:val="0"/>
          <w:numId w:val="12"/>
        </w:numPr>
        <w:spacing w:after="160" w:line="259" w:lineRule="auto"/>
        <w:rPr>
          <w:rFonts w:cstheme="minorHAnsi"/>
          <w:sz w:val="24"/>
          <w:szCs w:val="24"/>
        </w:rPr>
      </w:pPr>
      <w:r w:rsidRPr="00B67D0B">
        <w:rPr>
          <w:rFonts w:cstheme="minorHAnsi"/>
          <w:sz w:val="24"/>
          <w:szCs w:val="24"/>
        </w:rPr>
        <w:t xml:space="preserve">Bank statement (dated in last two months) showing a complete month of transactions for </w:t>
      </w:r>
      <w:r w:rsidRPr="00B67D0B">
        <w:rPr>
          <w:rFonts w:cstheme="minorHAnsi"/>
          <w:b/>
          <w:bCs/>
          <w:sz w:val="24"/>
          <w:szCs w:val="24"/>
          <w:u w:val="single"/>
        </w:rPr>
        <w:t>ALL</w:t>
      </w:r>
      <w:r w:rsidRPr="00B67D0B">
        <w:rPr>
          <w:rFonts w:cstheme="minorHAnsi"/>
          <w:sz w:val="24"/>
          <w:szCs w:val="24"/>
        </w:rPr>
        <w:t xml:space="preserve"> accounts held by the customer.  </w:t>
      </w:r>
    </w:p>
    <w:p w14:paraId="10917E85" w14:textId="1711F35F" w:rsidR="008772DB" w:rsidRPr="00B67D0B" w:rsidRDefault="008772DB" w:rsidP="008772DB">
      <w:pPr>
        <w:pStyle w:val="ListParagraph"/>
        <w:numPr>
          <w:ilvl w:val="0"/>
          <w:numId w:val="12"/>
        </w:numPr>
        <w:spacing w:after="160" w:line="259" w:lineRule="auto"/>
        <w:rPr>
          <w:rFonts w:cstheme="minorHAnsi"/>
          <w:sz w:val="24"/>
          <w:szCs w:val="24"/>
        </w:rPr>
      </w:pPr>
      <w:r w:rsidRPr="00B67D0B">
        <w:rPr>
          <w:rFonts w:cstheme="minorHAnsi"/>
          <w:sz w:val="24"/>
          <w:szCs w:val="24"/>
        </w:rPr>
        <w:t>Transactions to be no older than three months.</w:t>
      </w:r>
    </w:p>
    <w:p w14:paraId="38AF60AD" w14:textId="77777777" w:rsidR="008772DB" w:rsidRPr="00B67D0B" w:rsidRDefault="008772DB" w:rsidP="008772DB">
      <w:pPr>
        <w:pStyle w:val="ListParagraph"/>
        <w:numPr>
          <w:ilvl w:val="0"/>
          <w:numId w:val="12"/>
        </w:numPr>
        <w:spacing w:after="160" w:line="259" w:lineRule="auto"/>
        <w:rPr>
          <w:rFonts w:cstheme="minorHAnsi"/>
          <w:sz w:val="24"/>
          <w:szCs w:val="24"/>
        </w:rPr>
      </w:pPr>
      <w:r w:rsidRPr="00B67D0B">
        <w:rPr>
          <w:rFonts w:cstheme="minorHAnsi"/>
          <w:sz w:val="24"/>
          <w:szCs w:val="24"/>
        </w:rPr>
        <w:t>Credit Union statements for any accounts held by the customer (dated in last two months) showing a complete month of transactions.  Transactions to be no older than three months.</w:t>
      </w:r>
    </w:p>
    <w:p w14:paraId="3B1C94B4" w14:textId="77777777" w:rsidR="008772DB" w:rsidRPr="00B67D0B" w:rsidRDefault="008772DB" w:rsidP="008772DB">
      <w:pPr>
        <w:pStyle w:val="ListParagraph"/>
        <w:numPr>
          <w:ilvl w:val="0"/>
          <w:numId w:val="12"/>
        </w:numPr>
        <w:spacing w:after="160" w:line="259" w:lineRule="auto"/>
        <w:rPr>
          <w:rFonts w:cstheme="minorHAnsi"/>
          <w:sz w:val="24"/>
          <w:szCs w:val="24"/>
        </w:rPr>
      </w:pPr>
      <w:r w:rsidRPr="00B67D0B">
        <w:rPr>
          <w:rFonts w:cstheme="minorHAnsi"/>
          <w:sz w:val="24"/>
          <w:szCs w:val="24"/>
        </w:rPr>
        <w:t>Payslips, unless income from work is explicitly shown on bank or credit union statement.</w:t>
      </w:r>
    </w:p>
    <w:p w14:paraId="52819EA6" w14:textId="77777777" w:rsidR="008772DB" w:rsidRPr="00B67D0B" w:rsidRDefault="008772DB" w:rsidP="008772DB">
      <w:pPr>
        <w:pStyle w:val="ListParagraph"/>
        <w:numPr>
          <w:ilvl w:val="0"/>
          <w:numId w:val="12"/>
        </w:numPr>
        <w:spacing w:after="160" w:line="259" w:lineRule="auto"/>
        <w:rPr>
          <w:rFonts w:cstheme="minorHAnsi"/>
          <w:sz w:val="24"/>
          <w:szCs w:val="24"/>
        </w:rPr>
      </w:pPr>
      <w:r w:rsidRPr="00B67D0B">
        <w:rPr>
          <w:rFonts w:cstheme="minorHAnsi"/>
          <w:sz w:val="24"/>
          <w:szCs w:val="24"/>
        </w:rPr>
        <w:t>Student Finance Loan documentation (essential for anyone in receipt of a student loan).</w:t>
      </w:r>
    </w:p>
    <w:p w14:paraId="51B0174D" w14:textId="188443F4" w:rsidR="008772DB" w:rsidRPr="00B67D0B" w:rsidRDefault="008772DB" w:rsidP="008772DB">
      <w:pPr>
        <w:pStyle w:val="ListParagraph"/>
        <w:numPr>
          <w:ilvl w:val="0"/>
          <w:numId w:val="12"/>
        </w:numPr>
        <w:spacing w:after="160" w:line="259" w:lineRule="auto"/>
        <w:rPr>
          <w:rFonts w:cstheme="minorHAnsi"/>
          <w:sz w:val="24"/>
          <w:szCs w:val="24"/>
        </w:rPr>
      </w:pPr>
      <w:r w:rsidRPr="00B67D0B">
        <w:rPr>
          <w:rFonts w:cstheme="minorHAnsi"/>
          <w:sz w:val="24"/>
          <w:szCs w:val="24"/>
        </w:rPr>
        <w:t xml:space="preserve">Tax return for self-employed or information from Accountant to confirm income </w:t>
      </w:r>
      <w:r w:rsidR="007A5453">
        <w:rPr>
          <w:rFonts w:cstheme="minorHAnsi"/>
          <w:sz w:val="24"/>
          <w:szCs w:val="24"/>
        </w:rPr>
        <w:t xml:space="preserve">and expenses </w:t>
      </w:r>
      <w:r w:rsidRPr="00B67D0B">
        <w:rPr>
          <w:rFonts w:cstheme="minorHAnsi"/>
          <w:sz w:val="24"/>
          <w:szCs w:val="24"/>
        </w:rPr>
        <w:t>generated from work.</w:t>
      </w:r>
    </w:p>
    <w:p w14:paraId="6B7ACC5F" w14:textId="77777777" w:rsidR="008772DB" w:rsidRPr="00B67D0B" w:rsidRDefault="008772DB" w:rsidP="008772DB">
      <w:pPr>
        <w:pStyle w:val="ListParagraph"/>
        <w:numPr>
          <w:ilvl w:val="0"/>
          <w:numId w:val="12"/>
        </w:numPr>
        <w:spacing w:after="160" w:line="259" w:lineRule="auto"/>
        <w:rPr>
          <w:rFonts w:cstheme="minorHAnsi"/>
          <w:sz w:val="24"/>
          <w:szCs w:val="24"/>
        </w:rPr>
      </w:pPr>
      <w:r w:rsidRPr="00B67D0B">
        <w:rPr>
          <w:rFonts w:cstheme="minorHAnsi"/>
          <w:sz w:val="24"/>
          <w:szCs w:val="24"/>
        </w:rPr>
        <w:t>Benefit letter, or UC screen shots.</w:t>
      </w:r>
    </w:p>
    <w:p w14:paraId="60FF4BD3" w14:textId="77777777" w:rsidR="008772DB" w:rsidRPr="00B67D0B" w:rsidRDefault="008772DB" w:rsidP="008772DB">
      <w:pPr>
        <w:pStyle w:val="ListParagraph"/>
        <w:numPr>
          <w:ilvl w:val="0"/>
          <w:numId w:val="12"/>
        </w:numPr>
        <w:spacing w:after="160" w:line="259" w:lineRule="auto"/>
        <w:rPr>
          <w:rFonts w:cstheme="minorHAnsi"/>
          <w:sz w:val="24"/>
          <w:szCs w:val="24"/>
        </w:rPr>
      </w:pPr>
      <w:r w:rsidRPr="00B67D0B">
        <w:rPr>
          <w:rFonts w:cstheme="minorHAnsi"/>
          <w:sz w:val="24"/>
          <w:szCs w:val="24"/>
        </w:rPr>
        <w:t xml:space="preserve">I&amp;E from organisations supporting the customer, </w:t>
      </w:r>
      <w:proofErr w:type="gramStart"/>
      <w:r w:rsidRPr="00B67D0B">
        <w:rPr>
          <w:rFonts w:cstheme="minorHAnsi"/>
          <w:sz w:val="24"/>
          <w:szCs w:val="24"/>
        </w:rPr>
        <w:t>e.g.</w:t>
      </w:r>
      <w:proofErr w:type="gramEnd"/>
      <w:r w:rsidRPr="00B67D0B">
        <w:rPr>
          <w:rFonts w:cstheme="minorHAnsi"/>
          <w:sz w:val="24"/>
          <w:szCs w:val="24"/>
        </w:rPr>
        <w:t xml:space="preserve"> Penderels Trust / CAB etc.</w:t>
      </w:r>
    </w:p>
    <w:p w14:paraId="3D0CCC79" w14:textId="77777777" w:rsidR="008772DB" w:rsidRPr="00B67D0B" w:rsidRDefault="008772DB" w:rsidP="008772DB">
      <w:pPr>
        <w:rPr>
          <w:rFonts w:cstheme="minorHAnsi"/>
          <w:sz w:val="24"/>
          <w:szCs w:val="24"/>
        </w:rPr>
      </w:pPr>
      <w:r w:rsidRPr="00B67D0B">
        <w:rPr>
          <w:rFonts w:cstheme="minorHAnsi"/>
          <w:sz w:val="24"/>
          <w:szCs w:val="24"/>
        </w:rPr>
        <w:t xml:space="preserve">In all cases the minimum supporting information required is the bank statement.  </w:t>
      </w:r>
    </w:p>
    <w:p w14:paraId="25F0B11A" w14:textId="6C5847C3" w:rsidR="008772DB" w:rsidRPr="00B67D0B" w:rsidRDefault="008772DB" w:rsidP="008772DB">
      <w:pPr>
        <w:rPr>
          <w:rFonts w:cstheme="minorHAnsi"/>
          <w:sz w:val="24"/>
          <w:szCs w:val="24"/>
        </w:rPr>
      </w:pPr>
      <w:r w:rsidRPr="00B67D0B">
        <w:rPr>
          <w:rFonts w:cstheme="minorHAnsi"/>
          <w:sz w:val="24"/>
          <w:szCs w:val="24"/>
        </w:rPr>
        <w:t xml:space="preserve">Where appropriate financial information has not been obtained before the I&amp;E is booked / requested, the officer allocated to the case will return the case to the requesting </w:t>
      </w:r>
      <w:r w:rsidR="007A5453">
        <w:rPr>
          <w:rFonts w:cstheme="minorHAnsi"/>
          <w:sz w:val="24"/>
          <w:szCs w:val="24"/>
        </w:rPr>
        <w:t>officer/team</w:t>
      </w:r>
      <w:r w:rsidRPr="00B67D0B">
        <w:rPr>
          <w:rFonts w:cstheme="minorHAnsi"/>
          <w:sz w:val="24"/>
          <w:szCs w:val="24"/>
        </w:rPr>
        <w:t>.  Any further request for an I&amp;E will then need to be resubmitted when the information is available.</w:t>
      </w:r>
      <w:r w:rsidR="007A5453">
        <w:rPr>
          <w:rFonts w:cstheme="minorHAnsi"/>
          <w:sz w:val="24"/>
          <w:szCs w:val="24"/>
        </w:rPr>
        <w:t xml:space="preserve">  The customer will not be contacted to inform them of this decision.</w:t>
      </w:r>
    </w:p>
    <w:p w14:paraId="21640731" w14:textId="77777777" w:rsidR="00D43ADB" w:rsidRPr="00B67D0B" w:rsidRDefault="00D43ADB" w:rsidP="0081789E">
      <w:pPr>
        <w:spacing w:after="0"/>
        <w:rPr>
          <w:rFonts w:cstheme="minorHAnsi"/>
          <w:b/>
          <w:sz w:val="24"/>
          <w:szCs w:val="24"/>
        </w:rPr>
      </w:pPr>
    </w:p>
    <w:p w14:paraId="70904E83" w14:textId="47BCE79D" w:rsidR="00D43ADB" w:rsidRPr="00B67D0B" w:rsidRDefault="00F8255A" w:rsidP="00D43ADB">
      <w:pPr>
        <w:spacing w:after="0"/>
        <w:rPr>
          <w:rFonts w:cstheme="minorHAnsi"/>
          <w:b/>
          <w:sz w:val="24"/>
          <w:szCs w:val="24"/>
        </w:rPr>
      </w:pPr>
      <w:r>
        <w:rPr>
          <w:rFonts w:cstheme="minorHAnsi"/>
          <w:b/>
          <w:sz w:val="24"/>
          <w:szCs w:val="24"/>
        </w:rPr>
        <w:t>3</w:t>
      </w:r>
      <w:r w:rsidR="00D43ADB" w:rsidRPr="00B67D0B">
        <w:rPr>
          <w:rFonts w:cstheme="minorHAnsi"/>
          <w:b/>
          <w:sz w:val="24"/>
          <w:szCs w:val="24"/>
        </w:rPr>
        <w:t xml:space="preserve">.4 </w:t>
      </w:r>
      <w:r w:rsidR="008772DB" w:rsidRPr="00B67D0B">
        <w:rPr>
          <w:rFonts w:cstheme="minorHAnsi"/>
          <w:b/>
          <w:sz w:val="24"/>
          <w:szCs w:val="24"/>
        </w:rPr>
        <w:t>Bank Statement Requirements</w:t>
      </w:r>
    </w:p>
    <w:p w14:paraId="61C7EB45" w14:textId="4D99AD47" w:rsidR="00D43ADB" w:rsidRPr="00B67D0B" w:rsidRDefault="00D43ADB" w:rsidP="00D43ADB">
      <w:pPr>
        <w:spacing w:after="0"/>
        <w:rPr>
          <w:rFonts w:cstheme="minorHAnsi"/>
          <w:b/>
          <w:sz w:val="24"/>
          <w:szCs w:val="24"/>
        </w:rPr>
      </w:pPr>
    </w:p>
    <w:p w14:paraId="1FD94B27" w14:textId="732D64DD" w:rsidR="008772DB" w:rsidRPr="00B67D0B" w:rsidRDefault="008772DB" w:rsidP="008772DB">
      <w:pPr>
        <w:rPr>
          <w:rFonts w:cstheme="minorHAnsi"/>
          <w:sz w:val="24"/>
          <w:szCs w:val="24"/>
        </w:rPr>
      </w:pPr>
      <w:r w:rsidRPr="00B67D0B">
        <w:rPr>
          <w:rFonts w:cstheme="minorHAnsi"/>
          <w:sz w:val="24"/>
          <w:szCs w:val="24"/>
        </w:rPr>
        <w:t xml:space="preserve">A bank statement is required for all I&amp;Es, unless specifically agreed with the </w:t>
      </w:r>
      <w:r w:rsidR="00B331B0">
        <w:rPr>
          <w:rFonts w:cstheme="minorHAnsi"/>
          <w:sz w:val="24"/>
          <w:szCs w:val="24"/>
        </w:rPr>
        <w:t>Financial Inclusion Coordinator</w:t>
      </w:r>
    </w:p>
    <w:p w14:paraId="6E24E5EA" w14:textId="35AC4E41" w:rsidR="008772DB" w:rsidRPr="00B67D0B" w:rsidRDefault="008772DB" w:rsidP="008772DB">
      <w:pPr>
        <w:rPr>
          <w:rFonts w:cstheme="minorHAnsi"/>
          <w:sz w:val="24"/>
          <w:szCs w:val="24"/>
        </w:rPr>
      </w:pPr>
      <w:r w:rsidRPr="00B67D0B">
        <w:rPr>
          <w:rFonts w:cstheme="minorHAnsi"/>
          <w:sz w:val="24"/>
          <w:szCs w:val="24"/>
        </w:rPr>
        <w:t xml:space="preserve">For a sole tenant the supporting financial information list </w:t>
      </w:r>
      <w:r w:rsidR="007A5453">
        <w:rPr>
          <w:rFonts w:cstheme="minorHAnsi"/>
          <w:sz w:val="24"/>
          <w:szCs w:val="24"/>
        </w:rPr>
        <w:t xml:space="preserve">(3.3) </w:t>
      </w:r>
      <w:r w:rsidRPr="00B67D0B">
        <w:rPr>
          <w:rFonts w:cstheme="minorHAnsi"/>
          <w:sz w:val="24"/>
          <w:szCs w:val="24"/>
        </w:rPr>
        <w:t>above applies.</w:t>
      </w:r>
    </w:p>
    <w:p w14:paraId="18953E8B" w14:textId="59E9BDCF" w:rsidR="008772DB" w:rsidRPr="00B67D0B" w:rsidRDefault="008772DB" w:rsidP="008772DB">
      <w:pPr>
        <w:rPr>
          <w:rFonts w:cstheme="minorHAnsi"/>
          <w:sz w:val="24"/>
          <w:szCs w:val="24"/>
        </w:rPr>
      </w:pPr>
      <w:r w:rsidRPr="00B67D0B">
        <w:rPr>
          <w:rFonts w:cstheme="minorHAnsi"/>
          <w:sz w:val="24"/>
          <w:szCs w:val="24"/>
        </w:rPr>
        <w:t xml:space="preserve">For joint tenants, the supporting financial information list </w:t>
      </w:r>
      <w:r w:rsidR="007A5453">
        <w:rPr>
          <w:rFonts w:cstheme="minorHAnsi"/>
          <w:sz w:val="24"/>
          <w:szCs w:val="24"/>
        </w:rPr>
        <w:t xml:space="preserve">(3.3) </w:t>
      </w:r>
      <w:r w:rsidRPr="00B67D0B">
        <w:rPr>
          <w:rFonts w:cstheme="minorHAnsi"/>
          <w:sz w:val="24"/>
          <w:szCs w:val="24"/>
        </w:rPr>
        <w:t>above applies</w:t>
      </w:r>
      <w:r w:rsidR="007A5453">
        <w:rPr>
          <w:rFonts w:cstheme="minorHAnsi"/>
          <w:sz w:val="24"/>
          <w:szCs w:val="24"/>
        </w:rPr>
        <w:t>,</w:t>
      </w:r>
      <w:r w:rsidRPr="00B67D0B">
        <w:rPr>
          <w:rFonts w:cstheme="minorHAnsi"/>
          <w:sz w:val="24"/>
          <w:szCs w:val="24"/>
        </w:rPr>
        <w:t xml:space="preserve"> for each tenant.</w:t>
      </w:r>
    </w:p>
    <w:p w14:paraId="308D09C7" w14:textId="504F82E2" w:rsidR="008772DB" w:rsidRPr="00B67D0B" w:rsidRDefault="008772DB" w:rsidP="008772DB">
      <w:pPr>
        <w:rPr>
          <w:rFonts w:cstheme="minorHAnsi"/>
          <w:sz w:val="24"/>
          <w:szCs w:val="24"/>
        </w:rPr>
      </w:pPr>
      <w:r w:rsidRPr="00B67D0B">
        <w:rPr>
          <w:rFonts w:cstheme="minorHAnsi"/>
          <w:sz w:val="24"/>
          <w:szCs w:val="24"/>
        </w:rPr>
        <w:t xml:space="preserve">For sole tenants with an occupying partner, the supporting financial information list </w:t>
      </w:r>
      <w:r w:rsidR="007A5453">
        <w:rPr>
          <w:rFonts w:cstheme="minorHAnsi"/>
          <w:sz w:val="24"/>
          <w:szCs w:val="24"/>
        </w:rPr>
        <w:t xml:space="preserve">(3.3) </w:t>
      </w:r>
      <w:r w:rsidRPr="00B67D0B">
        <w:rPr>
          <w:rFonts w:cstheme="minorHAnsi"/>
          <w:sz w:val="24"/>
          <w:szCs w:val="24"/>
        </w:rPr>
        <w:t xml:space="preserve">above applies for </w:t>
      </w:r>
      <w:proofErr w:type="gramStart"/>
      <w:r w:rsidRPr="00B67D0B">
        <w:rPr>
          <w:rFonts w:cstheme="minorHAnsi"/>
          <w:sz w:val="24"/>
          <w:szCs w:val="24"/>
        </w:rPr>
        <w:t>each individual</w:t>
      </w:r>
      <w:proofErr w:type="gramEnd"/>
      <w:r w:rsidRPr="00B67D0B">
        <w:rPr>
          <w:rFonts w:cstheme="minorHAnsi"/>
          <w:sz w:val="24"/>
          <w:szCs w:val="24"/>
        </w:rPr>
        <w:t>.  This is to ensure correct benefits are being paid (</w:t>
      </w:r>
      <w:proofErr w:type="gramStart"/>
      <w:r w:rsidR="007A5453">
        <w:rPr>
          <w:rFonts w:cstheme="minorHAnsi"/>
          <w:sz w:val="24"/>
          <w:szCs w:val="24"/>
        </w:rPr>
        <w:t>e.g.</w:t>
      </w:r>
      <w:proofErr w:type="gramEnd"/>
      <w:r w:rsidR="007A5453">
        <w:rPr>
          <w:rFonts w:cstheme="minorHAnsi"/>
          <w:sz w:val="24"/>
          <w:szCs w:val="24"/>
        </w:rPr>
        <w:t xml:space="preserve"> </w:t>
      </w:r>
      <w:r w:rsidRPr="00B67D0B">
        <w:rPr>
          <w:rFonts w:cstheme="minorHAnsi"/>
          <w:sz w:val="24"/>
          <w:szCs w:val="24"/>
        </w:rPr>
        <w:t>joint</w:t>
      </w:r>
      <w:r w:rsidR="007A5453">
        <w:rPr>
          <w:rFonts w:cstheme="minorHAnsi"/>
          <w:sz w:val="24"/>
          <w:szCs w:val="24"/>
        </w:rPr>
        <w:t xml:space="preserve"> benefit</w:t>
      </w:r>
      <w:r w:rsidRPr="00B67D0B">
        <w:rPr>
          <w:rFonts w:cstheme="minorHAnsi"/>
          <w:sz w:val="24"/>
          <w:szCs w:val="24"/>
        </w:rPr>
        <w:t xml:space="preserve"> claims) and that income is being maximised for each individual.</w:t>
      </w:r>
    </w:p>
    <w:p w14:paraId="2DBCE25F" w14:textId="6A68A296" w:rsidR="008772DB" w:rsidRPr="00B67D0B" w:rsidRDefault="008772DB" w:rsidP="008772DB">
      <w:pPr>
        <w:rPr>
          <w:rFonts w:cstheme="minorHAnsi"/>
          <w:sz w:val="24"/>
          <w:szCs w:val="24"/>
        </w:rPr>
      </w:pPr>
      <w:r w:rsidRPr="00B67D0B">
        <w:rPr>
          <w:rFonts w:cstheme="minorHAnsi"/>
          <w:sz w:val="24"/>
          <w:szCs w:val="24"/>
        </w:rPr>
        <w:t xml:space="preserve">For sole or joint tenants with non-dependent adults in the property, information on the non-dependant financial situation is </w:t>
      </w:r>
      <w:r w:rsidR="007A5453">
        <w:rPr>
          <w:rFonts w:cstheme="minorHAnsi"/>
          <w:sz w:val="24"/>
          <w:szCs w:val="24"/>
        </w:rPr>
        <w:t xml:space="preserve">also </w:t>
      </w:r>
      <w:r w:rsidRPr="00B67D0B">
        <w:rPr>
          <w:rFonts w:cstheme="minorHAnsi"/>
          <w:sz w:val="24"/>
          <w:szCs w:val="24"/>
        </w:rPr>
        <w:t>required e.g. What is their income from work? Do they receive benefits?  This can be obtained during the I&amp;E but is helpful to have in advance.</w:t>
      </w:r>
    </w:p>
    <w:p w14:paraId="42453080" w14:textId="163DD384" w:rsidR="008772DB" w:rsidRPr="00B67D0B" w:rsidRDefault="008772DB" w:rsidP="008772DB">
      <w:pPr>
        <w:rPr>
          <w:rFonts w:cstheme="minorHAnsi"/>
          <w:sz w:val="24"/>
          <w:szCs w:val="24"/>
        </w:rPr>
      </w:pPr>
      <w:r w:rsidRPr="00B67D0B">
        <w:rPr>
          <w:rFonts w:cstheme="minorHAnsi"/>
          <w:sz w:val="24"/>
          <w:szCs w:val="24"/>
        </w:rPr>
        <w:lastRenderedPageBreak/>
        <w:t>If a sole or joint tenant does not have a bank account, please discuss this with the</w:t>
      </w:r>
      <w:r w:rsidR="00B331B0" w:rsidRPr="00B331B0">
        <w:rPr>
          <w:rFonts w:cstheme="minorHAnsi"/>
          <w:sz w:val="24"/>
          <w:szCs w:val="24"/>
        </w:rPr>
        <w:t xml:space="preserve"> </w:t>
      </w:r>
      <w:r w:rsidR="00B331B0">
        <w:rPr>
          <w:rFonts w:cstheme="minorHAnsi"/>
          <w:sz w:val="24"/>
          <w:szCs w:val="24"/>
        </w:rPr>
        <w:t>Financial Inclusion Coordinator</w:t>
      </w:r>
      <w:r w:rsidRPr="00B67D0B">
        <w:rPr>
          <w:rFonts w:cstheme="minorHAnsi"/>
          <w:sz w:val="24"/>
          <w:szCs w:val="24"/>
        </w:rPr>
        <w:t xml:space="preserve"> in the first instance. </w:t>
      </w:r>
    </w:p>
    <w:p w14:paraId="73627E1B" w14:textId="71E73778" w:rsidR="008772DB" w:rsidRPr="00B67D0B" w:rsidRDefault="008772DB" w:rsidP="008772DB">
      <w:pPr>
        <w:rPr>
          <w:rFonts w:cstheme="minorHAnsi"/>
          <w:sz w:val="24"/>
          <w:szCs w:val="24"/>
        </w:rPr>
      </w:pPr>
      <w:r w:rsidRPr="00B67D0B">
        <w:rPr>
          <w:rFonts w:cstheme="minorHAnsi"/>
          <w:sz w:val="24"/>
          <w:szCs w:val="24"/>
        </w:rPr>
        <w:t xml:space="preserve">Should any other scenario apply </w:t>
      </w:r>
      <w:r w:rsidR="009D3244">
        <w:rPr>
          <w:rFonts w:cstheme="minorHAnsi"/>
          <w:sz w:val="24"/>
          <w:szCs w:val="24"/>
        </w:rPr>
        <w:t xml:space="preserve">the </w:t>
      </w:r>
      <w:r w:rsidR="00B331B0">
        <w:rPr>
          <w:rFonts w:cstheme="minorHAnsi"/>
          <w:sz w:val="24"/>
          <w:szCs w:val="24"/>
        </w:rPr>
        <w:t xml:space="preserve">Financial Inclusion Coordinator </w:t>
      </w:r>
      <w:r w:rsidR="009D3244">
        <w:rPr>
          <w:rFonts w:cstheme="minorHAnsi"/>
          <w:sz w:val="24"/>
          <w:szCs w:val="24"/>
        </w:rPr>
        <w:t>should be contacted</w:t>
      </w:r>
      <w:r w:rsidRPr="00B67D0B">
        <w:rPr>
          <w:rFonts w:cstheme="minorHAnsi"/>
          <w:sz w:val="24"/>
          <w:szCs w:val="24"/>
        </w:rPr>
        <w:t xml:space="preserve"> for advice</w:t>
      </w:r>
      <w:r w:rsidR="009D3244">
        <w:rPr>
          <w:rFonts w:cstheme="minorHAnsi"/>
          <w:sz w:val="24"/>
          <w:szCs w:val="24"/>
        </w:rPr>
        <w:t xml:space="preserve"> on how to proceed</w:t>
      </w:r>
      <w:r w:rsidRPr="00B67D0B">
        <w:rPr>
          <w:rFonts w:cstheme="minorHAnsi"/>
          <w:sz w:val="24"/>
          <w:szCs w:val="24"/>
        </w:rPr>
        <w:t>.</w:t>
      </w:r>
    </w:p>
    <w:p w14:paraId="34526BB6" w14:textId="77777777" w:rsidR="00D43ADB" w:rsidRPr="00B67D0B" w:rsidRDefault="00D43ADB" w:rsidP="00D43ADB">
      <w:pPr>
        <w:spacing w:after="0"/>
        <w:rPr>
          <w:rFonts w:cstheme="minorHAnsi"/>
          <w:bCs/>
          <w:sz w:val="24"/>
          <w:szCs w:val="24"/>
        </w:rPr>
      </w:pPr>
    </w:p>
    <w:p w14:paraId="6FF688C6" w14:textId="77777777" w:rsidR="00254A6D" w:rsidRPr="00B67D0B" w:rsidRDefault="00254A6D" w:rsidP="0081789E">
      <w:pPr>
        <w:spacing w:after="0"/>
        <w:rPr>
          <w:rFonts w:cstheme="minorHAnsi"/>
          <w:color w:val="000000"/>
          <w:sz w:val="24"/>
          <w:szCs w:val="24"/>
        </w:rPr>
      </w:pPr>
    </w:p>
    <w:p w14:paraId="116216DF" w14:textId="7ED55550" w:rsidR="00254A6D" w:rsidRPr="00B67D0B" w:rsidRDefault="00F8255A" w:rsidP="00254A6D">
      <w:pPr>
        <w:pStyle w:val="Default"/>
        <w:rPr>
          <w:rFonts w:asciiTheme="minorHAnsi" w:hAnsiTheme="minorHAnsi" w:cstheme="minorHAnsi"/>
          <w:b/>
          <w:bCs/>
          <w:iCs/>
          <w:color w:val="auto"/>
        </w:rPr>
      </w:pPr>
      <w:r>
        <w:rPr>
          <w:rFonts w:asciiTheme="minorHAnsi" w:hAnsiTheme="minorHAnsi" w:cstheme="minorHAnsi"/>
          <w:b/>
          <w:bCs/>
          <w:iCs/>
          <w:color w:val="auto"/>
        </w:rPr>
        <w:t>3</w:t>
      </w:r>
      <w:r w:rsidR="00254A6D" w:rsidRPr="00B67D0B">
        <w:rPr>
          <w:rFonts w:asciiTheme="minorHAnsi" w:hAnsiTheme="minorHAnsi" w:cstheme="minorHAnsi"/>
          <w:b/>
          <w:bCs/>
          <w:iCs/>
          <w:color w:val="auto"/>
        </w:rPr>
        <w:t xml:space="preserve">.5 </w:t>
      </w:r>
      <w:r w:rsidR="008772DB" w:rsidRPr="00B67D0B">
        <w:rPr>
          <w:rFonts w:asciiTheme="minorHAnsi" w:hAnsiTheme="minorHAnsi" w:cstheme="minorHAnsi"/>
          <w:b/>
          <w:bCs/>
          <w:iCs/>
          <w:color w:val="auto"/>
        </w:rPr>
        <w:t>I&amp;E Calculations</w:t>
      </w:r>
    </w:p>
    <w:p w14:paraId="10232833" w14:textId="77777777" w:rsidR="00254A6D" w:rsidRPr="00B67D0B" w:rsidRDefault="00254A6D" w:rsidP="00254A6D">
      <w:pPr>
        <w:pStyle w:val="Default"/>
        <w:rPr>
          <w:rFonts w:asciiTheme="minorHAnsi" w:hAnsiTheme="minorHAnsi" w:cstheme="minorHAnsi"/>
          <w:iCs/>
          <w:color w:val="auto"/>
        </w:rPr>
      </w:pPr>
    </w:p>
    <w:p w14:paraId="4BE9240E" w14:textId="77777777" w:rsidR="008772DB" w:rsidRPr="00B67D0B" w:rsidRDefault="008772DB" w:rsidP="008772DB">
      <w:pPr>
        <w:rPr>
          <w:rFonts w:cstheme="minorHAnsi"/>
          <w:sz w:val="24"/>
          <w:szCs w:val="24"/>
        </w:rPr>
      </w:pPr>
      <w:r w:rsidRPr="00B67D0B">
        <w:rPr>
          <w:rFonts w:cstheme="minorHAnsi"/>
          <w:sz w:val="24"/>
          <w:szCs w:val="24"/>
        </w:rPr>
        <w:t>I&amp;Es will be completed using the system known as Policy in Practice (</w:t>
      </w:r>
      <w:proofErr w:type="spellStart"/>
      <w:r w:rsidRPr="00B67D0B">
        <w:rPr>
          <w:rFonts w:cstheme="minorHAnsi"/>
          <w:sz w:val="24"/>
          <w:szCs w:val="24"/>
        </w:rPr>
        <w:t>PiP</w:t>
      </w:r>
      <w:proofErr w:type="spellEnd"/>
      <w:r w:rsidRPr="00B67D0B">
        <w:rPr>
          <w:rFonts w:cstheme="minorHAnsi"/>
          <w:sz w:val="24"/>
          <w:szCs w:val="24"/>
        </w:rPr>
        <w:t xml:space="preserve">).  As a contingency plan should this system fail, a manual I&amp;E will be completed on Excel. </w:t>
      </w:r>
    </w:p>
    <w:p w14:paraId="4A19068D" w14:textId="12EBD0D5" w:rsidR="008772DB" w:rsidRPr="00B67D0B" w:rsidRDefault="008772DB" w:rsidP="008772DB">
      <w:pPr>
        <w:rPr>
          <w:rFonts w:cstheme="minorHAnsi"/>
          <w:sz w:val="24"/>
          <w:szCs w:val="24"/>
        </w:rPr>
      </w:pPr>
      <w:r w:rsidRPr="00B67D0B">
        <w:rPr>
          <w:rFonts w:cstheme="minorHAnsi"/>
          <w:sz w:val="24"/>
          <w:szCs w:val="24"/>
        </w:rPr>
        <w:t>A ‘self-service’ version of the system can be completed by the customer, should they not be able to undertake a call during usual office hours.  After completion this should be returned to</w:t>
      </w:r>
      <w:r w:rsidR="009D3244">
        <w:rPr>
          <w:rFonts w:cstheme="minorHAnsi"/>
          <w:sz w:val="24"/>
          <w:szCs w:val="24"/>
        </w:rPr>
        <w:t xml:space="preserve"> the income pre tenancy inbox </w:t>
      </w:r>
      <w:r w:rsidRPr="00B67D0B">
        <w:rPr>
          <w:rFonts w:cstheme="minorHAnsi"/>
          <w:sz w:val="24"/>
          <w:szCs w:val="24"/>
        </w:rPr>
        <w:t xml:space="preserve">where it will be reviewed by a member of the team.  If this option is required, </w:t>
      </w:r>
      <w:r w:rsidR="009D3244">
        <w:rPr>
          <w:rFonts w:cstheme="minorHAnsi"/>
          <w:sz w:val="24"/>
          <w:szCs w:val="24"/>
        </w:rPr>
        <w:t xml:space="preserve">the </w:t>
      </w:r>
      <w:r w:rsidR="00B331B0">
        <w:rPr>
          <w:rFonts w:cstheme="minorHAnsi"/>
          <w:sz w:val="24"/>
          <w:szCs w:val="24"/>
        </w:rPr>
        <w:t xml:space="preserve">Financial Inclusion Coordinator </w:t>
      </w:r>
      <w:r w:rsidR="009D3244">
        <w:rPr>
          <w:rFonts w:cstheme="minorHAnsi"/>
          <w:sz w:val="24"/>
          <w:szCs w:val="24"/>
        </w:rPr>
        <w:t>should be contact</w:t>
      </w:r>
      <w:r w:rsidR="009D7132">
        <w:rPr>
          <w:rFonts w:cstheme="minorHAnsi"/>
          <w:sz w:val="24"/>
          <w:szCs w:val="24"/>
        </w:rPr>
        <w:t>ed</w:t>
      </w:r>
      <w:r w:rsidR="009D3244">
        <w:rPr>
          <w:rFonts w:cstheme="minorHAnsi"/>
          <w:sz w:val="24"/>
          <w:szCs w:val="24"/>
        </w:rPr>
        <w:t xml:space="preserve"> for advice on how to proceed.</w:t>
      </w:r>
    </w:p>
    <w:p w14:paraId="34B4E2AE" w14:textId="77777777" w:rsidR="005E4C00" w:rsidRPr="00B67D0B" w:rsidRDefault="005E4C00" w:rsidP="0081789E">
      <w:pPr>
        <w:spacing w:after="0"/>
        <w:rPr>
          <w:rFonts w:cstheme="minorHAnsi"/>
          <w:sz w:val="24"/>
          <w:szCs w:val="24"/>
        </w:rPr>
      </w:pPr>
    </w:p>
    <w:p w14:paraId="644B6AD6" w14:textId="6449E972" w:rsidR="00993FDC" w:rsidRPr="00B67D0B" w:rsidRDefault="00F8255A" w:rsidP="0081789E">
      <w:pPr>
        <w:spacing w:after="0"/>
        <w:rPr>
          <w:rFonts w:cstheme="minorHAnsi"/>
          <w:b/>
          <w:bCs/>
          <w:sz w:val="24"/>
          <w:szCs w:val="24"/>
        </w:rPr>
      </w:pPr>
      <w:r>
        <w:rPr>
          <w:rFonts w:cstheme="minorHAnsi"/>
          <w:b/>
          <w:bCs/>
          <w:sz w:val="24"/>
          <w:szCs w:val="24"/>
        </w:rPr>
        <w:t>3</w:t>
      </w:r>
      <w:r w:rsidR="00993FDC" w:rsidRPr="00B67D0B">
        <w:rPr>
          <w:rFonts w:cstheme="minorHAnsi"/>
          <w:b/>
          <w:bCs/>
          <w:sz w:val="24"/>
          <w:szCs w:val="24"/>
        </w:rPr>
        <w:t>.</w:t>
      </w:r>
      <w:r w:rsidR="007A5453">
        <w:rPr>
          <w:rFonts w:cstheme="minorHAnsi"/>
          <w:b/>
          <w:bCs/>
          <w:sz w:val="24"/>
          <w:szCs w:val="24"/>
        </w:rPr>
        <w:t>6</w:t>
      </w:r>
      <w:r w:rsidR="00993FDC" w:rsidRPr="00B67D0B">
        <w:rPr>
          <w:rFonts w:cstheme="minorHAnsi"/>
          <w:b/>
          <w:bCs/>
          <w:sz w:val="24"/>
          <w:szCs w:val="24"/>
        </w:rPr>
        <w:t xml:space="preserve"> </w:t>
      </w:r>
      <w:proofErr w:type="gramStart"/>
      <w:r w:rsidR="00B67D0B" w:rsidRPr="00B67D0B">
        <w:rPr>
          <w:rFonts w:cstheme="minorHAnsi"/>
          <w:b/>
          <w:bCs/>
          <w:sz w:val="24"/>
          <w:szCs w:val="24"/>
        </w:rPr>
        <w:t>Non-Dependents</w:t>
      </w:r>
      <w:proofErr w:type="gramEnd"/>
      <w:r w:rsidR="008772DB" w:rsidRPr="00B67D0B">
        <w:rPr>
          <w:rFonts w:cstheme="minorHAnsi"/>
          <w:b/>
          <w:bCs/>
          <w:sz w:val="24"/>
          <w:szCs w:val="24"/>
        </w:rPr>
        <w:t xml:space="preserve"> and budget calculations</w:t>
      </w:r>
    </w:p>
    <w:p w14:paraId="4444EC60" w14:textId="46FD50BC" w:rsidR="0081789E" w:rsidRPr="00B67D0B" w:rsidRDefault="0081789E" w:rsidP="0081789E">
      <w:pPr>
        <w:spacing w:after="0"/>
        <w:rPr>
          <w:rFonts w:cstheme="minorHAnsi"/>
          <w:sz w:val="24"/>
          <w:szCs w:val="24"/>
        </w:rPr>
      </w:pPr>
    </w:p>
    <w:p w14:paraId="5890B856" w14:textId="77777777" w:rsidR="008772DB" w:rsidRPr="00B67D0B" w:rsidRDefault="008772DB" w:rsidP="008772DB">
      <w:pPr>
        <w:rPr>
          <w:rFonts w:cstheme="minorHAnsi"/>
          <w:sz w:val="24"/>
          <w:szCs w:val="24"/>
        </w:rPr>
      </w:pPr>
      <w:r w:rsidRPr="00B67D0B">
        <w:rPr>
          <w:rFonts w:cstheme="minorHAnsi"/>
          <w:sz w:val="24"/>
          <w:szCs w:val="24"/>
        </w:rPr>
        <w:t xml:space="preserve">Where a tenant will be joined by a non-dependent in the property, we will base the I&amp;E on the tenant themselves, applying any appropriate non-dependant charges.  Should the non-dependent contribute to the household we will include an amount in the budget to show this.  </w:t>
      </w:r>
    </w:p>
    <w:p w14:paraId="42FCAC3C" w14:textId="77777777" w:rsidR="008772DB" w:rsidRPr="00B67D0B" w:rsidRDefault="008772DB" w:rsidP="008772DB">
      <w:pPr>
        <w:rPr>
          <w:rFonts w:cstheme="minorHAnsi"/>
          <w:sz w:val="24"/>
          <w:szCs w:val="24"/>
        </w:rPr>
      </w:pPr>
    </w:p>
    <w:p w14:paraId="72685056" w14:textId="77777777" w:rsidR="008772DB" w:rsidRPr="00B67D0B" w:rsidRDefault="008772DB" w:rsidP="008772DB">
      <w:pPr>
        <w:pBdr>
          <w:top w:val="single" w:sz="18" w:space="1" w:color="365F91" w:themeColor="accent1" w:themeShade="BF"/>
          <w:left w:val="single" w:sz="18" w:space="4" w:color="365F91" w:themeColor="accent1" w:themeShade="BF"/>
          <w:bottom w:val="single" w:sz="18" w:space="1" w:color="365F91" w:themeColor="accent1" w:themeShade="BF"/>
          <w:right w:val="single" w:sz="18" w:space="4" w:color="365F91" w:themeColor="accent1" w:themeShade="BF"/>
        </w:pBdr>
        <w:ind w:left="720"/>
        <w:rPr>
          <w:rFonts w:cstheme="minorHAnsi"/>
          <w:sz w:val="24"/>
          <w:szCs w:val="24"/>
        </w:rPr>
      </w:pPr>
      <w:r w:rsidRPr="00B67D0B">
        <w:rPr>
          <w:rFonts w:cstheme="minorHAnsi"/>
          <w:sz w:val="24"/>
          <w:szCs w:val="24"/>
        </w:rPr>
        <w:t xml:space="preserve">Example: An I&amp;E for a single tenancy is being prepared, the tenant will have her grown up son living with her.  Her son is in receipt of UC and PIP and therefore no automatic non-dependent charge is taken from mum’s UC award.  Mum is the appointee for her son’s </w:t>
      </w:r>
      <w:proofErr w:type="gramStart"/>
      <w:r w:rsidRPr="00B67D0B">
        <w:rPr>
          <w:rFonts w:cstheme="minorHAnsi"/>
          <w:sz w:val="24"/>
          <w:szCs w:val="24"/>
        </w:rPr>
        <w:t>finances</w:t>
      </w:r>
      <w:proofErr w:type="gramEnd"/>
      <w:r w:rsidRPr="00B67D0B">
        <w:rPr>
          <w:rFonts w:cstheme="minorHAnsi"/>
          <w:sz w:val="24"/>
          <w:szCs w:val="24"/>
        </w:rPr>
        <w:t xml:space="preserve"> and they share a bank account. </w:t>
      </w:r>
    </w:p>
    <w:p w14:paraId="26DEEB94" w14:textId="77777777" w:rsidR="008772DB" w:rsidRPr="00B67D0B" w:rsidRDefault="008772DB" w:rsidP="008772DB">
      <w:pPr>
        <w:pBdr>
          <w:top w:val="single" w:sz="18" w:space="1" w:color="365F91" w:themeColor="accent1" w:themeShade="BF"/>
          <w:left w:val="single" w:sz="18" w:space="4" w:color="365F91" w:themeColor="accent1" w:themeShade="BF"/>
          <w:bottom w:val="single" w:sz="18" w:space="1" w:color="365F91" w:themeColor="accent1" w:themeShade="BF"/>
          <w:right w:val="single" w:sz="18" w:space="4" w:color="365F91" w:themeColor="accent1" w:themeShade="BF"/>
        </w:pBdr>
        <w:ind w:left="720"/>
        <w:rPr>
          <w:rFonts w:cstheme="minorHAnsi"/>
          <w:sz w:val="24"/>
          <w:szCs w:val="24"/>
        </w:rPr>
      </w:pPr>
      <w:r w:rsidRPr="00B67D0B">
        <w:rPr>
          <w:rFonts w:cstheme="minorHAnsi"/>
          <w:sz w:val="24"/>
          <w:szCs w:val="24"/>
        </w:rPr>
        <w:t xml:space="preserve">When the I&amp;E is completed however, the property with all associated bills is unaffordable using just mum’s income.  </w:t>
      </w:r>
    </w:p>
    <w:p w14:paraId="51005BD0" w14:textId="77777777" w:rsidR="008772DB" w:rsidRPr="00B67D0B" w:rsidRDefault="008772DB" w:rsidP="008772DB">
      <w:pPr>
        <w:pBdr>
          <w:top w:val="single" w:sz="18" w:space="1" w:color="365F91" w:themeColor="accent1" w:themeShade="BF"/>
          <w:left w:val="single" w:sz="18" w:space="4" w:color="365F91" w:themeColor="accent1" w:themeShade="BF"/>
          <w:bottom w:val="single" w:sz="18" w:space="1" w:color="365F91" w:themeColor="accent1" w:themeShade="BF"/>
          <w:right w:val="single" w:sz="18" w:space="4" w:color="365F91" w:themeColor="accent1" w:themeShade="BF"/>
        </w:pBdr>
        <w:ind w:left="720"/>
        <w:rPr>
          <w:rFonts w:cstheme="minorHAnsi"/>
          <w:sz w:val="24"/>
          <w:szCs w:val="24"/>
        </w:rPr>
      </w:pPr>
      <w:r w:rsidRPr="00B67D0B">
        <w:rPr>
          <w:rFonts w:cstheme="minorHAnsi"/>
          <w:sz w:val="24"/>
          <w:szCs w:val="24"/>
        </w:rPr>
        <w:t xml:space="preserve">She explains that both her and her son put all their money into one account, and this pays for all the bills and living expenses.  If we showed this on the I&amp;E the property would be affordable.  However, as mum is the </w:t>
      </w:r>
      <w:proofErr w:type="gramStart"/>
      <w:r w:rsidRPr="00B67D0B">
        <w:rPr>
          <w:rFonts w:cstheme="minorHAnsi"/>
          <w:sz w:val="24"/>
          <w:szCs w:val="24"/>
        </w:rPr>
        <w:t>tenant</w:t>
      </w:r>
      <w:proofErr w:type="gramEnd"/>
      <w:r w:rsidRPr="00B67D0B">
        <w:rPr>
          <w:rFonts w:cstheme="minorHAnsi"/>
          <w:sz w:val="24"/>
          <w:szCs w:val="24"/>
        </w:rPr>
        <w:t xml:space="preserve"> we should show her income on the I&amp;E as she is liable party for the rent payments, with any contribution son would need to make from his income to make the property affordable and sustainable for them both.</w:t>
      </w:r>
    </w:p>
    <w:p w14:paraId="15CF2C9B" w14:textId="77777777" w:rsidR="008772DB" w:rsidRPr="00B67D0B" w:rsidRDefault="008772DB" w:rsidP="008772DB">
      <w:pPr>
        <w:pBdr>
          <w:top w:val="single" w:sz="18" w:space="1" w:color="365F91" w:themeColor="accent1" w:themeShade="BF"/>
          <w:left w:val="single" w:sz="18" w:space="4" w:color="365F91" w:themeColor="accent1" w:themeShade="BF"/>
          <w:bottom w:val="single" w:sz="18" w:space="1" w:color="365F91" w:themeColor="accent1" w:themeShade="BF"/>
          <w:right w:val="single" w:sz="18" w:space="4" w:color="365F91" w:themeColor="accent1" w:themeShade="BF"/>
        </w:pBdr>
        <w:ind w:left="720"/>
        <w:rPr>
          <w:rFonts w:cstheme="minorHAnsi"/>
          <w:sz w:val="24"/>
          <w:szCs w:val="24"/>
        </w:rPr>
      </w:pPr>
      <w:r w:rsidRPr="00B67D0B">
        <w:rPr>
          <w:rFonts w:cstheme="minorHAnsi"/>
          <w:sz w:val="24"/>
          <w:szCs w:val="24"/>
        </w:rPr>
        <w:lastRenderedPageBreak/>
        <w:t>In this case the I&amp;E should be sent as unaffordable for review by managers before proceeding.</w:t>
      </w:r>
    </w:p>
    <w:p w14:paraId="47EEFB51" w14:textId="77777777" w:rsidR="008772DB" w:rsidRPr="00B67D0B" w:rsidRDefault="008772DB" w:rsidP="008772DB">
      <w:pPr>
        <w:rPr>
          <w:rFonts w:cstheme="minorHAnsi"/>
          <w:sz w:val="24"/>
          <w:szCs w:val="24"/>
        </w:rPr>
      </w:pPr>
    </w:p>
    <w:p w14:paraId="362C376E" w14:textId="462FB839" w:rsidR="008772DB" w:rsidRPr="00B67D0B" w:rsidRDefault="008772DB" w:rsidP="008772DB">
      <w:pPr>
        <w:rPr>
          <w:rFonts w:cstheme="minorHAnsi"/>
          <w:sz w:val="24"/>
          <w:szCs w:val="24"/>
        </w:rPr>
      </w:pPr>
      <w:r w:rsidRPr="00B67D0B">
        <w:rPr>
          <w:rFonts w:cstheme="minorHAnsi"/>
          <w:sz w:val="24"/>
          <w:szCs w:val="24"/>
        </w:rPr>
        <w:t xml:space="preserve">Where there is ambiguity over whether someone is a non-dependent or a boarder this should be discussed with the </w:t>
      </w:r>
      <w:r w:rsidR="00B331B0">
        <w:rPr>
          <w:rFonts w:cstheme="minorHAnsi"/>
          <w:sz w:val="24"/>
          <w:szCs w:val="24"/>
        </w:rPr>
        <w:t>Financial Inclusion Coordinator</w:t>
      </w:r>
      <w:r w:rsidR="00B331B0" w:rsidRPr="00B67D0B">
        <w:rPr>
          <w:rFonts w:cstheme="minorHAnsi"/>
          <w:sz w:val="24"/>
          <w:szCs w:val="24"/>
        </w:rPr>
        <w:t xml:space="preserve"> </w:t>
      </w:r>
      <w:r w:rsidRPr="00B67D0B">
        <w:rPr>
          <w:rFonts w:cstheme="minorHAnsi"/>
          <w:sz w:val="24"/>
          <w:szCs w:val="24"/>
        </w:rPr>
        <w:t xml:space="preserve">in advance.  In </w:t>
      </w:r>
      <w:proofErr w:type="gramStart"/>
      <w:r w:rsidRPr="00B67D0B">
        <w:rPr>
          <w:rFonts w:cstheme="minorHAnsi"/>
          <w:sz w:val="24"/>
          <w:szCs w:val="24"/>
        </w:rPr>
        <w:t>the majority of</w:t>
      </w:r>
      <w:proofErr w:type="gramEnd"/>
      <w:r w:rsidRPr="00B67D0B">
        <w:rPr>
          <w:rFonts w:cstheme="minorHAnsi"/>
          <w:sz w:val="24"/>
          <w:szCs w:val="24"/>
        </w:rPr>
        <w:t xml:space="preserve"> cases this will be a non-dependent unless the tenant has a specific Tenancy Agreement with the boarder.</w:t>
      </w:r>
    </w:p>
    <w:p w14:paraId="12379A55" w14:textId="11A4B7ED" w:rsidR="005E4C00" w:rsidRPr="00B67D0B" w:rsidRDefault="00F8255A" w:rsidP="0081789E">
      <w:pPr>
        <w:spacing w:after="0"/>
        <w:rPr>
          <w:rFonts w:cstheme="minorHAnsi"/>
          <w:b/>
          <w:bCs/>
          <w:sz w:val="24"/>
          <w:szCs w:val="24"/>
        </w:rPr>
      </w:pPr>
      <w:r>
        <w:rPr>
          <w:rFonts w:cstheme="minorHAnsi"/>
          <w:b/>
          <w:bCs/>
          <w:sz w:val="24"/>
          <w:szCs w:val="24"/>
        </w:rPr>
        <w:t>3</w:t>
      </w:r>
      <w:r w:rsidR="008772DB" w:rsidRPr="00B67D0B">
        <w:rPr>
          <w:rFonts w:cstheme="minorHAnsi"/>
          <w:b/>
          <w:bCs/>
          <w:sz w:val="24"/>
          <w:szCs w:val="24"/>
        </w:rPr>
        <w:t>.</w:t>
      </w:r>
      <w:r w:rsidR="007A5453">
        <w:rPr>
          <w:rFonts w:cstheme="minorHAnsi"/>
          <w:b/>
          <w:bCs/>
          <w:sz w:val="24"/>
          <w:szCs w:val="24"/>
        </w:rPr>
        <w:t>7</w:t>
      </w:r>
      <w:r w:rsidR="008772DB" w:rsidRPr="00B67D0B">
        <w:rPr>
          <w:rFonts w:cstheme="minorHAnsi"/>
          <w:b/>
          <w:bCs/>
          <w:sz w:val="24"/>
          <w:szCs w:val="24"/>
        </w:rPr>
        <w:t xml:space="preserve"> Joint Tenant, </w:t>
      </w:r>
      <w:r w:rsidR="00B67D0B" w:rsidRPr="00B67D0B">
        <w:rPr>
          <w:rFonts w:cstheme="minorHAnsi"/>
          <w:b/>
          <w:bCs/>
          <w:sz w:val="24"/>
          <w:szCs w:val="24"/>
        </w:rPr>
        <w:t>non-couple</w:t>
      </w:r>
    </w:p>
    <w:p w14:paraId="1D1655FA" w14:textId="7CED25AB" w:rsidR="00147088" w:rsidRPr="00B67D0B" w:rsidRDefault="00147088" w:rsidP="0081789E">
      <w:pPr>
        <w:spacing w:after="0"/>
        <w:rPr>
          <w:rFonts w:cstheme="minorHAnsi"/>
          <w:b/>
          <w:bCs/>
          <w:sz w:val="24"/>
          <w:szCs w:val="24"/>
        </w:rPr>
      </w:pPr>
    </w:p>
    <w:p w14:paraId="15F74277" w14:textId="77777777" w:rsidR="008772DB" w:rsidRPr="00B67D0B" w:rsidRDefault="008772DB" w:rsidP="008772DB">
      <w:pPr>
        <w:rPr>
          <w:rFonts w:cstheme="minorHAnsi"/>
          <w:sz w:val="24"/>
          <w:szCs w:val="24"/>
        </w:rPr>
      </w:pPr>
      <w:r w:rsidRPr="00B67D0B">
        <w:rPr>
          <w:rFonts w:cstheme="minorHAnsi"/>
          <w:sz w:val="24"/>
          <w:szCs w:val="24"/>
        </w:rPr>
        <w:t>Where a joint tenancy I&amp;E is being completed for a non-couple (</w:t>
      </w:r>
      <w:proofErr w:type="gramStart"/>
      <w:r w:rsidRPr="00B67D0B">
        <w:rPr>
          <w:rFonts w:cstheme="minorHAnsi"/>
          <w:sz w:val="24"/>
          <w:szCs w:val="24"/>
        </w:rPr>
        <w:t>e.g.</w:t>
      </w:r>
      <w:proofErr w:type="gramEnd"/>
      <w:r w:rsidRPr="00B67D0B">
        <w:rPr>
          <w:rFonts w:cstheme="minorHAnsi"/>
          <w:sz w:val="24"/>
          <w:szCs w:val="24"/>
        </w:rPr>
        <w:t xml:space="preserve"> brother and sister) there will need to be two I&amp;E’s completed showing a 50% charge for household costs (rent, utilities, food etc).  This will ensure correct calculation of Housing Costs and benefits are applied.  </w:t>
      </w:r>
    </w:p>
    <w:p w14:paraId="49BD92F7" w14:textId="77777777" w:rsidR="008772DB" w:rsidRPr="00B67D0B" w:rsidRDefault="008772DB" w:rsidP="008772DB">
      <w:pPr>
        <w:rPr>
          <w:rFonts w:cstheme="minorHAnsi"/>
          <w:sz w:val="24"/>
          <w:szCs w:val="24"/>
        </w:rPr>
      </w:pPr>
      <w:r w:rsidRPr="00B67D0B">
        <w:rPr>
          <w:rFonts w:cstheme="minorHAnsi"/>
          <w:sz w:val="24"/>
          <w:szCs w:val="24"/>
        </w:rPr>
        <w:t>When the two I&amp;E’s have been completed they will be brought together manually to check the overall affordability of the property for both liable parties.</w:t>
      </w:r>
    </w:p>
    <w:p w14:paraId="08BBEF5E" w14:textId="77777777" w:rsidR="008772DB" w:rsidRPr="00B67D0B" w:rsidRDefault="008772DB" w:rsidP="008772DB">
      <w:pPr>
        <w:rPr>
          <w:rFonts w:cstheme="minorHAnsi"/>
          <w:sz w:val="24"/>
          <w:szCs w:val="24"/>
        </w:rPr>
      </w:pPr>
      <w:r w:rsidRPr="00B67D0B">
        <w:rPr>
          <w:rFonts w:cstheme="minorHAnsi"/>
          <w:sz w:val="24"/>
          <w:szCs w:val="24"/>
        </w:rPr>
        <w:t>It is also worth noting here that in this scenario there could be two different income streams, as both parties are treated as individuals and so one could have ESA + PIP + Housing Benefit and the other could be working and have some UC + Housing Costs.</w:t>
      </w:r>
    </w:p>
    <w:p w14:paraId="2CDA9043" w14:textId="0FD9B436" w:rsidR="008772DB" w:rsidRPr="00B67D0B" w:rsidRDefault="008772DB" w:rsidP="008772DB">
      <w:pPr>
        <w:rPr>
          <w:rFonts w:cstheme="minorHAnsi"/>
          <w:sz w:val="24"/>
          <w:szCs w:val="24"/>
        </w:rPr>
      </w:pPr>
      <w:r w:rsidRPr="00B67D0B">
        <w:rPr>
          <w:rFonts w:cstheme="minorHAnsi"/>
          <w:sz w:val="24"/>
          <w:szCs w:val="24"/>
        </w:rPr>
        <w:t xml:space="preserve">In this situation a longer I&amp;E appointment </w:t>
      </w:r>
      <w:r w:rsidR="009D3244">
        <w:rPr>
          <w:rFonts w:cstheme="minorHAnsi"/>
          <w:sz w:val="24"/>
          <w:szCs w:val="24"/>
        </w:rPr>
        <w:t xml:space="preserve">will be </w:t>
      </w:r>
      <w:r w:rsidRPr="00B67D0B">
        <w:rPr>
          <w:rFonts w:cstheme="minorHAnsi"/>
          <w:sz w:val="24"/>
          <w:szCs w:val="24"/>
        </w:rPr>
        <w:t>needed</w:t>
      </w:r>
      <w:r w:rsidR="009D3244">
        <w:rPr>
          <w:rFonts w:cstheme="minorHAnsi"/>
          <w:sz w:val="24"/>
          <w:szCs w:val="24"/>
        </w:rPr>
        <w:t xml:space="preserve">, therefore a </w:t>
      </w:r>
      <w:r w:rsidR="007A5453">
        <w:rPr>
          <w:rFonts w:cstheme="minorHAnsi"/>
          <w:sz w:val="24"/>
          <w:szCs w:val="24"/>
        </w:rPr>
        <w:t xml:space="preserve">double appointment </w:t>
      </w:r>
      <w:r w:rsidR="009D3244">
        <w:rPr>
          <w:rFonts w:cstheme="minorHAnsi"/>
          <w:sz w:val="24"/>
          <w:szCs w:val="24"/>
        </w:rPr>
        <w:t>will need to be booked in Stopford</w:t>
      </w:r>
      <w:r w:rsidR="007A5453">
        <w:rPr>
          <w:rFonts w:cstheme="minorHAnsi"/>
          <w:sz w:val="24"/>
          <w:szCs w:val="24"/>
        </w:rPr>
        <w:t>.</w:t>
      </w:r>
    </w:p>
    <w:p w14:paraId="2CC513EF" w14:textId="1F9A7D23" w:rsidR="008772DB" w:rsidRPr="00B67D0B" w:rsidRDefault="008772DB" w:rsidP="008772DB">
      <w:pPr>
        <w:rPr>
          <w:rFonts w:cstheme="minorHAnsi"/>
          <w:sz w:val="24"/>
          <w:szCs w:val="24"/>
        </w:rPr>
      </w:pPr>
    </w:p>
    <w:p w14:paraId="04BF5BDE" w14:textId="119F07D1" w:rsidR="008772DB" w:rsidRPr="00B67D0B" w:rsidRDefault="00F8255A" w:rsidP="008772DB">
      <w:pPr>
        <w:rPr>
          <w:rFonts w:cstheme="minorHAnsi"/>
          <w:b/>
          <w:bCs/>
          <w:sz w:val="24"/>
          <w:szCs w:val="24"/>
        </w:rPr>
      </w:pPr>
      <w:r>
        <w:rPr>
          <w:rFonts w:cstheme="minorHAnsi"/>
          <w:b/>
          <w:bCs/>
          <w:sz w:val="24"/>
          <w:szCs w:val="24"/>
        </w:rPr>
        <w:t>3</w:t>
      </w:r>
      <w:r w:rsidR="00B67D0B" w:rsidRPr="00B67D0B">
        <w:rPr>
          <w:rFonts w:cstheme="minorHAnsi"/>
          <w:b/>
          <w:bCs/>
          <w:sz w:val="24"/>
          <w:szCs w:val="24"/>
        </w:rPr>
        <w:t>.</w:t>
      </w:r>
      <w:r w:rsidR="007A5453">
        <w:rPr>
          <w:rFonts w:cstheme="minorHAnsi"/>
          <w:b/>
          <w:bCs/>
          <w:sz w:val="24"/>
          <w:szCs w:val="24"/>
        </w:rPr>
        <w:t>8</w:t>
      </w:r>
      <w:r w:rsidR="00B67D0B" w:rsidRPr="00B67D0B">
        <w:rPr>
          <w:rFonts w:cstheme="minorHAnsi"/>
          <w:b/>
          <w:bCs/>
          <w:sz w:val="24"/>
          <w:szCs w:val="24"/>
        </w:rPr>
        <w:t xml:space="preserve"> </w:t>
      </w:r>
      <w:r w:rsidR="00737820" w:rsidRPr="00B67D0B">
        <w:rPr>
          <w:rFonts w:cstheme="minorHAnsi"/>
          <w:b/>
          <w:bCs/>
          <w:sz w:val="24"/>
          <w:szCs w:val="24"/>
        </w:rPr>
        <w:t>Affordability Outcome</w:t>
      </w:r>
    </w:p>
    <w:p w14:paraId="7BEDA8E5" w14:textId="706EE4E1" w:rsidR="00737820" w:rsidRDefault="00737820" w:rsidP="00737820">
      <w:pPr>
        <w:rPr>
          <w:rFonts w:cstheme="minorHAnsi"/>
          <w:sz w:val="24"/>
          <w:szCs w:val="24"/>
        </w:rPr>
      </w:pPr>
      <w:r w:rsidRPr="00B67D0B">
        <w:rPr>
          <w:rFonts w:cstheme="minorHAnsi"/>
          <w:sz w:val="24"/>
          <w:szCs w:val="24"/>
        </w:rPr>
        <w:t xml:space="preserve">Where the outcome of an IYM I&amp;E shows as unaffordable the case will be presented to the </w:t>
      </w:r>
      <w:r w:rsidR="00B331B0">
        <w:rPr>
          <w:rFonts w:cstheme="minorHAnsi"/>
          <w:sz w:val="24"/>
          <w:szCs w:val="24"/>
        </w:rPr>
        <w:t>Financial Inclusion Coordinator</w:t>
      </w:r>
      <w:r w:rsidR="00B331B0" w:rsidRPr="00B67D0B">
        <w:rPr>
          <w:rFonts w:cstheme="minorHAnsi"/>
          <w:sz w:val="24"/>
          <w:szCs w:val="24"/>
        </w:rPr>
        <w:t xml:space="preserve"> </w:t>
      </w:r>
      <w:r w:rsidRPr="00B67D0B">
        <w:rPr>
          <w:rFonts w:cstheme="minorHAnsi"/>
          <w:sz w:val="24"/>
          <w:szCs w:val="24"/>
        </w:rPr>
        <w:t xml:space="preserve">for review.  </w:t>
      </w:r>
      <w:r w:rsidR="007A5453">
        <w:rPr>
          <w:rFonts w:cstheme="minorHAnsi"/>
          <w:sz w:val="24"/>
          <w:szCs w:val="24"/>
        </w:rPr>
        <w:t>In turn this</w:t>
      </w:r>
      <w:r w:rsidRPr="00B67D0B">
        <w:rPr>
          <w:rFonts w:cstheme="minorHAnsi"/>
          <w:sz w:val="24"/>
          <w:szCs w:val="24"/>
        </w:rPr>
        <w:t xml:space="preserve"> will then forward to the Management team in Key Choices for review and discussion. </w:t>
      </w:r>
      <w:r w:rsidR="009D3244">
        <w:rPr>
          <w:rFonts w:cstheme="minorHAnsi"/>
          <w:sz w:val="24"/>
          <w:szCs w:val="24"/>
        </w:rPr>
        <w:t xml:space="preserve"> All possible outcomes will be </w:t>
      </w:r>
      <w:r w:rsidR="00B331B0">
        <w:rPr>
          <w:rFonts w:cstheme="minorHAnsi"/>
          <w:sz w:val="24"/>
          <w:szCs w:val="24"/>
        </w:rPr>
        <w:t xml:space="preserve">reviewed, </w:t>
      </w:r>
      <w:r w:rsidR="009D3244">
        <w:rPr>
          <w:rFonts w:cstheme="minorHAnsi"/>
          <w:sz w:val="24"/>
          <w:szCs w:val="24"/>
        </w:rPr>
        <w:t>and the outcome of these discussions will be documented on the customers application.</w:t>
      </w:r>
    </w:p>
    <w:p w14:paraId="1304CB05" w14:textId="7D0DAA15" w:rsidR="007A5453" w:rsidRPr="00B67D0B" w:rsidRDefault="007A5453" w:rsidP="00737820">
      <w:pPr>
        <w:rPr>
          <w:rFonts w:cstheme="minorHAnsi"/>
          <w:sz w:val="24"/>
          <w:szCs w:val="24"/>
        </w:rPr>
      </w:pPr>
      <w:r>
        <w:rPr>
          <w:rFonts w:cstheme="minorHAnsi"/>
          <w:sz w:val="24"/>
          <w:szCs w:val="24"/>
        </w:rPr>
        <w:t>For a Homeless I&amp;E request the unaffordable outcome is reported to the Homeless Officer who requested the I&amp;E.</w:t>
      </w:r>
    </w:p>
    <w:p w14:paraId="1D7FF798" w14:textId="2ACB768B" w:rsidR="00737820" w:rsidRPr="00B67D0B" w:rsidRDefault="007A5453" w:rsidP="00737820">
      <w:pPr>
        <w:rPr>
          <w:rFonts w:cstheme="minorHAnsi"/>
          <w:sz w:val="24"/>
          <w:szCs w:val="24"/>
        </w:rPr>
      </w:pPr>
      <w:r>
        <w:rPr>
          <w:rFonts w:cstheme="minorHAnsi"/>
          <w:sz w:val="24"/>
          <w:szCs w:val="24"/>
        </w:rPr>
        <w:t>For a HAP I&amp;E request the unaffordable outcome is reported to the Key Choices Officer working these cases, where it will be discussed in Panel.</w:t>
      </w:r>
    </w:p>
    <w:p w14:paraId="514A42F5" w14:textId="096C672B" w:rsidR="00737820" w:rsidRPr="00B67D0B" w:rsidRDefault="00737820" w:rsidP="00737820">
      <w:pPr>
        <w:rPr>
          <w:rFonts w:cstheme="minorHAnsi"/>
          <w:sz w:val="24"/>
          <w:szCs w:val="24"/>
        </w:rPr>
      </w:pPr>
      <w:r w:rsidRPr="00B67D0B">
        <w:rPr>
          <w:rFonts w:cstheme="minorHAnsi"/>
          <w:sz w:val="24"/>
          <w:szCs w:val="24"/>
        </w:rPr>
        <w:t xml:space="preserve">In all cases notes </w:t>
      </w:r>
      <w:r w:rsidR="009D3244">
        <w:rPr>
          <w:rFonts w:cstheme="minorHAnsi"/>
          <w:sz w:val="24"/>
          <w:szCs w:val="24"/>
        </w:rPr>
        <w:t xml:space="preserve">will </w:t>
      </w:r>
      <w:r w:rsidRPr="00B67D0B">
        <w:rPr>
          <w:rFonts w:cstheme="minorHAnsi"/>
          <w:sz w:val="24"/>
          <w:szCs w:val="24"/>
        </w:rPr>
        <w:t xml:space="preserve">be added to </w:t>
      </w:r>
      <w:r w:rsidR="009D3244">
        <w:rPr>
          <w:rFonts w:cstheme="minorHAnsi"/>
          <w:sz w:val="24"/>
          <w:szCs w:val="24"/>
        </w:rPr>
        <w:t>the Housing Management System</w:t>
      </w:r>
      <w:r w:rsidR="009D3244" w:rsidRPr="00B67D0B">
        <w:rPr>
          <w:rFonts w:cstheme="minorHAnsi"/>
          <w:sz w:val="24"/>
          <w:szCs w:val="24"/>
        </w:rPr>
        <w:t xml:space="preserve"> </w:t>
      </w:r>
      <w:r w:rsidRPr="00B67D0B">
        <w:rPr>
          <w:rFonts w:cstheme="minorHAnsi"/>
          <w:sz w:val="24"/>
          <w:szCs w:val="24"/>
        </w:rPr>
        <w:t xml:space="preserve">to confirm </w:t>
      </w:r>
      <w:r w:rsidR="009D3244">
        <w:rPr>
          <w:rFonts w:cstheme="minorHAnsi"/>
          <w:sz w:val="24"/>
          <w:szCs w:val="24"/>
        </w:rPr>
        <w:t>what</w:t>
      </w:r>
      <w:r w:rsidRPr="00B67D0B">
        <w:rPr>
          <w:rFonts w:cstheme="minorHAnsi"/>
          <w:sz w:val="24"/>
          <w:szCs w:val="24"/>
        </w:rPr>
        <w:t xml:space="preserve"> action </w:t>
      </w:r>
      <w:r w:rsidR="009D3244">
        <w:rPr>
          <w:rFonts w:cstheme="minorHAnsi"/>
          <w:sz w:val="24"/>
          <w:szCs w:val="24"/>
        </w:rPr>
        <w:t xml:space="preserve">will be </w:t>
      </w:r>
      <w:r w:rsidRPr="00B67D0B">
        <w:rPr>
          <w:rFonts w:cstheme="minorHAnsi"/>
          <w:sz w:val="24"/>
          <w:szCs w:val="24"/>
        </w:rPr>
        <w:t xml:space="preserve">taken. </w:t>
      </w:r>
    </w:p>
    <w:p w14:paraId="6C9FA1B5" w14:textId="5AFAFE0A" w:rsidR="00737820" w:rsidRPr="00B67D0B" w:rsidRDefault="00737820" w:rsidP="008772DB">
      <w:pPr>
        <w:rPr>
          <w:rFonts w:cstheme="minorHAnsi"/>
          <w:sz w:val="24"/>
          <w:szCs w:val="24"/>
        </w:rPr>
      </w:pPr>
    </w:p>
    <w:p w14:paraId="69F0A816" w14:textId="6720D530" w:rsidR="00737820" w:rsidRPr="00B67D0B" w:rsidRDefault="00F8255A" w:rsidP="008772DB">
      <w:pPr>
        <w:rPr>
          <w:rFonts w:cstheme="minorHAnsi"/>
          <w:b/>
          <w:bCs/>
          <w:sz w:val="24"/>
          <w:szCs w:val="24"/>
        </w:rPr>
      </w:pPr>
      <w:r>
        <w:rPr>
          <w:rFonts w:cstheme="minorHAnsi"/>
          <w:b/>
          <w:bCs/>
          <w:sz w:val="24"/>
          <w:szCs w:val="24"/>
        </w:rPr>
        <w:t>3</w:t>
      </w:r>
      <w:r w:rsidR="00B67D0B" w:rsidRPr="00B67D0B">
        <w:rPr>
          <w:rFonts w:cstheme="minorHAnsi"/>
          <w:b/>
          <w:bCs/>
          <w:sz w:val="24"/>
          <w:szCs w:val="24"/>
        </w:rPr>
        <w:t>.</w:t>
      </w:r>
      <w:r w:rsidR="007A5453">
        <w:rPr>
          <w:rFonts w:cstheme="minorHAnsi"/>
          <w:b/>
          <w:bCs/>
          <w:sz w:val="24"/>
          <w:szCs w:val="24"/>
        </w:rPr>
        <w:t>9</w:t>
      </w:r>
      <w:r w:rsidR="00B67D0B" w:rsidRPr="00B67D0B">
        <w:rPr>
          <w:rFonts w:cstheme="minorHAnsi"/>
          <w:b/>
          <w:bCs/>
          <w:sz w:val="24"/>
          <w:szCs w:val="24"/>
        </w:rPr>
        <w:t xml:space="preserve"> </w:t>
      </w:r>
      <w:r w:rsidR="00737820" w:rsidRPr="00B67D0B">
        <w:rPr>
          <w:rFonts w:cstheme="minorHAnsi"/>
          <w:b/>
          <w:bCs/>
          <w:sz w:val="24"/>
          <w:szCs w:val="24"/>
        </w:rPr>
        <w:t>Translations</w:t>
      </w:r>
    </w:p>
    <w:p w14:paraId="501DE8D0" w14:textId="3675AB25" w:rsidR="00737820" w:rsidRPr="00B67D0B" w:rsidRDefault="00737820" w:rsidP="00737820">
      <w:pPr>
        <w:rPr>
          <w:rFonts w:cstheme="minorHAnsi"/>
          <w:sz w:val="24"/>
          <w:szCs w:val="24"/>
        </w:rPr>
      </w:pPr>
      <w:r w:rsidRPr="00B67D0B">
        <w:rPr>
          <w:rFonts w:cstheme="minorHAnsi"/>
          <w:sz w:val="24"/>
          <w:szCs w:val="24"/>
        </w:rPr>
        <w:t xml:space="preserve">Where a customer requires a </w:t>
      </w:r>
      <w:r w:rsidR="002D7EA9" w:rsidRPr="00B67D0B">
        <w:rPr>
          <w:rFonts w:cstheme="minorHAnsi"/>
          <w:sz w:val="24"/>
          <w:szCs w:val="24"/>
        </w:rPr>
        <w:t>translator,</w:t>
      </w:r>
      <w:r w:rsidRPr="00B67D0B">
        <w:rPr>
          <w:rFonts w:cstheme="minorHAnsi"/>
          <w:sz w:val="24"/>
          <w:szCs w:val="24"/>
        </w:rPr>
        <w:t xml:space="preserve"> we will use the DA Languages facility and connect to them with a speaker of their preferred language.  </w:t>
      </w:r>
    </w:p>
    <w:p w14:paraId="26795831" w14:textId="77777777" w:rsidR="00737820" w:rsidRPr="00B67D0B" w:rsidRDefault="00737820" w:rsidP="00737820">
      <w:pPr>
        <w:rPr>
          <w:rFonts w:cstheme="minorHAnsi"/>
          <w:sz w:val="24"/>
          <w:szCs w:val="24"/>
        </w:rPr>
      </w:pPr>
      <w:r w:rsidRPr="00B67D0B">
        <w:rPr>
          <w:rFonts w:cstheme="minorHAnsi"/>
          <w:sz w:val="24"/>
          <w:szCs w:val="24"/>
        </w:rPr>
        <w:t>To help facilitate and plan it is helpful to know this is required at the time of the I&amp;E booking / request.</w:t>
      </w:r>
    </w:p>
    <w:p w14:paraId="18392778" w14:textId="2CD1AA8D" w:rsidR="00737820" w:rsidRPr="00B67D0B" w:rsidRDefault="007A5453" w:rsidP="00737820">
      <w:pPr>
        <w:rPr>
          <w:rFonts w:cstheme="minorHAnsi"/>
          <w:sz w:val="24"/>
          <w:szCs w:val="24"/>
        </w:rPr>
      </w:pPr>
      <w:r>
        <w:rPr>
          <w:rFonts w:cstheme="minorHAnsi"/>
          <w:sz w:val="24"/>
          <w:szCs w:val="24"/>
        </w:rPr>
        <w:t>Family and/or friends are not permitted to translate for a customer.</w:t>
      </w:r>
      <w:r w:rsidR="003271A7">
        <w:rPr>
          <w:rFonts w:cstheme="minorHAnsi"/>
          <w:sz w:val="24"/>
          <w:szCs w:val="24"/>
        </w:rPr>
        <w:t xml:space="preserve">  This is a requirement set by Legal Services.</w:t>
      </w:r>
    </w:p>
    <w:p w14:paraId="63ABEE00" w14:textId="31152FCB" w:rsidR="00737820" w:rsidRPr="00B67D0B" w:rsidRDefault="00737820" w:rsidP="00737820">
      <w:pPr>
        <w:rPr>
          <w:rFonts w:cstheme="minorHAnsi"/>
          <w:sz w:val="24"/>
          <w:szCs w:val="24"/>
        </w:rPr>
      </w:pPr>
      <w:r w:rsidRPr="00B67D0B">
        <w:rPr>
          <w:rFonts w:cstheme="minorHAnsi"/>
          <w:sz w:val="24"/>
          <w:szCs w:val="24"/>
        </w:rPr>
        <w:t xml:space="preserve">When completing a translation </w:t>
      </w:r>
      <w:r w:rsidR="002D7EA9" w:rsidRPr="00B67D0B">
        <w:rPr>
          <w:rFonts w:cstheme="minorHAnsi"/>
          <w:sz w:val="24"/>
          <w:szCs w:val="24"/>
        </w:rPr>
        <w:t>case,</w:t>
      </w:r>
      <w:r w:rsidRPr="00B67D0B">
        <w:rPr>
          <w:rFonts w:cstheme="minorHAnsi"/>
          <w:sz w:val="24"/>
          <w:szCs w:val="24"/>
        </w:rPr>
        <w:t xml:space="preserve"> the I&amp;E appointment will take longer, if booking is made in Stopford two consecutive appointment slots will be required.  If this is not booked correctly the </w:t>
      </w:r>
      <w:r w:rsidR="009D3244">
        <w:rPr>
          <w:rFonts w:cstheme="minorHAnsi"/>
          <w:sz w:val="24"/>
          <w:szCs w:val="24"/>
        </w:rPr>
        <w:t>appointment will not go ahead and the case will be retu</w:t>
      </w:r>
      <w:r w:rsidR="002D7EA9">
        <w:rPr>
          <w:rFonts w:cstheme="minorHAnsi"/>
          <w:sz w:val="24"/>
          <w:szCs w:val="24"/>
        </w:rPr>
        <w:t>r</w:t>
      </w:r>
      <w:r w:rsidR="009D3244">
        <w:rPr>
          <w:rFonts w:cstheme="minorHAnsi"/>
          <w:sz w:val="24"/>
          <w:szCs w:val="24"/>
        </w:rPr>
        <w:t>ned to Key Choices for them to rebook in an appropriate double appointment space.</w:t>
      </w:r>
    </w:p>
    <w:p w14:paraId="4DF8B7F7" w14:textId="77777777" w:rsidR="003271A7" w:rsidRDefault="003271A7" w:rsidP="008772DB">
      <w:pPr>
        <w:rPr>
          <w:rFonts w:cstheme="minorHAnsi"/>
          <w:b/>
          <w:bCs/>
          <w:sz w:val="24"/>
          <w:szCs w:val="24"/>
        </w:rPr>
      </w:pPr>
    </w:p>
    <w:p w14:paraId="6F0C7452" w14:textId="02889CEC" w:rsidR="00737820" w:rsidRPr="00B67D0B" w:rsidRDefault="00F8255A" w:rsidP="008772DB">
      <w:pPr>
        <w:rPr>
          <w:rFonts w:cstheme="minorHAnsi"/>
          <w:b/>
          <w:bCs/>
          <w:sz w:val="24"/>
          <w:szCs w:val="24"/>
        </w:rPr>
      </w:pPr>
      <w:r>
        <w:rPr>
          <w:rFonts w:cstheme="minorHAnsi"/>
          <w:b/>
          <w:bCs/>
          <w:sz w:val="24"/>
          <w:szCs w:val="24"/>
        </w:rPr>
        <w:t>3</w:t>
      </w:r>
      <w:r w:rsidR="00B67D0B" w:rsidRPr="00B67D0B">
        <w:rPr>
          <w:rFonts w:cstheme="minorHAnsi"/>
          <w:b/>
          <w:bCs/>
          <w:sz w:val="24"/>
          <w:szCs w:val="24"/>
        </w:rPr>
        <w:t>.1</w:t>
      </w:r>
      <w:r w:rsidR="007A5453">
        <w:rPr>
          <w:rFonts w:cstheme="minorHAnsi"/>
          <w:b/>
          <w:bCs/>
          <w:sz w:val="24"/>
          <w:szCs w:val="24"/>
        </w:rPr>
        <w:t>0</w:t>
      </w:r>
      <w:r w:rsidR="00B67D0B" w:rsidRPr="00B67D0B">
        <w:rPr>
          <w:rFonts w:cstheme="minorHAnsi"/>
          <w:b/>
          <w:bCs/>
          <w:sz w:val="24"/>
          <w:szCs w:val="24"/>
        </w:rPr>
        <w:t xml:space="preserve"> </w:t>
      </w:r>
      <w:r w:rsidR="00737820" w:rsidRPr="00B67D0B">
        <w:rPr>
          <w:rFonts w:cstheme="minorHAnsi"/>
          <w:b/>
          <w:bCs/>
          <w:sz w:val="24"/>
          <w:szCs w:val="24"/>
        </w:rPr>
        <w:t>No Contact</w:t>
      </w:r>
    </w:p>
    <w:p w14:paraId="267A9EFB" w14:textId="77777777" w:rsidR="00737820" w:rsidRPr="00B67D0B" w:rsidRDefault="00737820" w:rsidP="00737820">
      <w:pPr>
        <w:rPr>
          <w:rFonts w:cstheme="minorHAnsi"/>
          <w:sz w:val="24"/>
          <w:szCs w:val="24"/>
        </w:rPr>
      </w:pPr>
      <w:r w:rsidRPr="00B67D0B">
        <w:rPr>
          <w:rFonts w:cstheme="minorHAnsi"/>
          <w:sz w:val="24"/>
          <w:szCs w:val="24"/>
        </w:rPr>
        <w:t xml:space="preserve">When </w:t>
      </w:r>
      <w:proofErr w:type="gramStart"/>
      <w:r w:rsidRPr="00B67D0B">
        <w:rPr>
          <w:rFonts w:cstheme="minorHAnsi"/>
          <w:sz w:val="24"/>
          <w:szCs w:val="24"/>
        </w:rPr>
        <w:t>an</w:t>
      </w:r>
      <w:proofErr w:type="gramEnd"/>
      <w:r w:rsidRPr="00B67D0B">
        <w:rPr>
          <w:rFonts w:cstheme="minorHAnsi"/>
          <w:sz w:val="24"/>
          <w:szCs w:val="24"/>
        </w:rPr>
        <w:t xml:space="preserve"> I&amp;E is attempted but no contact is gained the team will leave a voicemail and also send a text message to the customer, giving them a date and time to respond by and putting them ‘on contact’.</w:t>
      </w:r>
    </w:p>
    <w:p w14:paraId="4931CF89" w14:textId="77777777" w:rsidR="00737820" w:rsidRPr="00B67D0B" w:rsidRDefault="00737820" w:rsidP="00737820">
      <w:pPr>
        <w:rPr>
          <w:rFonts w:cstheme="minorHAnsi"/>
          <w:sz w:val="24"/>
          <w:szCs w:val="24"/>
        </w:rPr>
      </w:pPr>
      <w:r w:rsidRPr="00B67D0B">
        <w:rPr>
          <w:rFonts w:cstheme="minorHAnsi"/>
          <w:sz w:val="24"/>
          <w:szCs w:val="24"/>
        </w:rPr>
        <w:t>Should the customer not respond by the given date and time the case will be returned to the requesting team.</w:t>
      </w:r>
    </w:p>
    <w:p w14:paraId="16F39822" w14:textId="77777777" w:rsidR="00737820" w:rsidRPr="00B67D0B" w:rsidRDefault="00737820" w:rsidP="00737820">
      <w:pPr>
        <w:rPr>
          <w:rFonts w:cstheme="minorHAnsi"/>
          <w:sz w:val="24"/>
          <w:szCs w:val="24"/>
        </w:rPr>
      </w:pPr>
      <w:r w:rsidRPr="00B67D0B">
        <w:rPr>
          <w:rFonts w:cstheme="minorHAnsi"/>
          <w:sz w:val="24"/>
          <w:szCs w:val="24"/>
        </w:rPr>
        <w:t>In the case of appointments booked into Stopford, a limited response time is available due to subsequent I&amp;E bookings.</w:t>
      </w:r>
    </w:p>
    <w:p w14:paraId="1A201045" w14:textId="77777777" w:rsidR="00737820" w:rsidRPr="00B67D0B" w:rsidRDefault="00737820" w:rsidP="00737820">
      <w:pPr>
        <w:rPr>
          <w:rFonts w:cstheme="minorHAnsi"/>
          <w:sz w:val="24"/>
          <w:szCs w:val="24"/>
        </w:rPr>
      </w:pPr>
      <w:r w:rsidRPr="00B67D0B">
        <w:rPr>
          <w:rFonts w:cstheme="minorHAnsi"/>
          <w:sz w:val="24"/>
          <w:szCs w:val="24"/>
        </w:rPr>
        <w:t xml:space="preserve">In the case of appointments requested via email a longer response time can be given, due to the flexibility of the cases.  </w:t>
      </w:r>
    </w:p>
    <w:p w14:paraId="5B1CD838" w14:textId="4E282363" w:rsidR="00737820" w:rsidRPr="00B67D0B" w:rsidRDefault="00737820" w:rsidP="00737820">
      <w:pPr>
        <w:rPr>
          <w:rFonts w:cstheme="minorHAnsi"/>
          <w:sz w:val="24"/>
          <w:szCs w:val="24"/>
        </w:rPr>
      </w:pPr>
      <w:r w:rsidRPr="00B67D0B">
        <w:rPr>
          <w:rFonts w:cstheme="minorHAnsi"/>
          <w:sz w:val="24"/>
          <w:szCs w:val="24"/>
        </w:rPr>
        <w:t xml:space="preserve">In all cases, if the customer does not respond </w:t>
      </w:r>
      <w:r w:rsidR="007A5453">
        <w:rPr>
          <w:rFonts w:cstheme="minorHAnsi"/>
          <w:sz w:val="24"/>
          <w:szCs w:val="24"/>
        </w:rPr>
        <w:t xml:space="preserve">by the given time </w:t>
      </w:r>
      <w:r w:rsidRPr="00B67D0B">
        <w:rPr>
          <w:rFonts w:cstheme="minorHAnsi"/>
          <w:sz w:val="24"/>
          <w:szCs w:val="24"/>
        </w:rPr>
        <w:t>a new request will need to be submitted for a future I&amp;E.</w:t>
      </w:r>
    </w:p>
    <w:p w14:paraId="35437ECF" w14:textId="5AA765F2" w:rsidR="00737820" w:rsidRPr="00B67D0B" w:rsidRDefault="00737820" w:rsidP="008772DB">
      <w:pPr>
        <w:rPr>
          <w:rFonts w:cstheme="minorHAnsi"/>
          <w:sz w:val="24"/>
          <w:szCs w:val="24"/>
        </w:rPr>
      </w:pPr>
    </w:p>
    <w:p w14:paraId="62FECAEE" w14:textId="4E949CE8" w:rsidR="00737820" w:rsidRPr="00B67D0B" w:rsidRDefault="00F8255A" w:rsidP="008772DB">
      <w:pPr>
        <w:rPr>
          <w:rFonts w:cstheme="minorHAnsi"/>
          <w:b/>
          <w:bCs/>
          <w:sz w:val="24"/>
          <w:szCs w:val="24"/>
        </w:rPr>
      </w:pPr>
      <w:r>
        <w:rPr>
          <w:rFonts w:cstheme="minorHAnsi"/>
          <w:b/>
          <w:bCs/>
          <w:sz w:val="24"/>
          <w:szCs w:val="24"/>
        </w:rPr>
        <w:t>3</w:t>
      </w:r>
      <w:r w:rsidR="00B67D0B" w:rsidRPr="00B67D0B">
        <w:rPr>
          <w:rFonts w:cstheme="minorHAnsi"/>
          <w:b/>
          <w:bCs/>
          <w:sz w:val="24"/>
          <w:szCs w:val="24"/>
        </w:rPr>
        <w:t>.1</w:t>
      </w:r>
      <w:r w:rsidR="0048396B">
        <w:rPr>
          <w:rFonts w:cstheme="minorHAnsi"/>
          <w:b/>
          <w:bCs/>
          <w:sz w:val="24"/>
          <w:szCs w:val="24"/>
        </w:rPr>
        <w:t>1</w:t>
      </w:r>
      <w:r w:rsidR="00B67D0B" w:rsidRPr="00B67D0B">
        <w:rPr>
          <w:rFonts w:cstheme="minorHAnsi"/>
          <w:b/>
          <w:bCs/>
          <w:sz w:val="24"/>
          <w:szCs w:val="24"/>
        </w:rPr>
        <w:t xml:space="preserve"> </w:t>
      </w:r>
      <w:r w:rsidR="00737820" w:rsidRPr="00B67D0B">
        <w:rPr>
          <w:rFonts w:cstheme="minorHAnsi"/>
          <w:b/>
          <w:bCs/>
          <w:sz w:val="24"/>
          <w:szCs w:val="24"/>
        </w:rPr>
        <w:t>Ad Hoc</w:t>
      </w:r>
    </w:p>
    <w:p w14:paraId="09AAE6CC" w14:textId="1E7BDECC" w:rsidR="00737820" w:rsidRPr="00B67D0B" w:rsidRDefault="00737820" w:rsidP="00737820">
      <w:pPr>
        <w:rPr>
          <w:rFonts w:cstheme="minorHAnsi"/>
          <w:sz w:val="24"/>
          <w:szCs w:val="24"/>
        </w:rPr>
      </w:pPr>
      <w:r w:rsidRPr="00B67D0B">
        <w:rPr>
          <w:rFonts w:cstheme="minorHAnsi"/>
          <w:sz w:val="24"/>
          <w:szCs w:val="24"/>
        </w:rPr>
        <w:t>Any I&amp;E request submitted which is outside the scope of prior listed I&amp;E’s will be treated as Ad-Hoc and the priority determined by the</w:t>
      </w:r>
      <w:r w:rsidR="002D7EA9">
        <w:rPr>
          <w:rFonts w:cstheme="minorHAnsi"/>
          <w:sz w:val="24"/>
          <w:szCs w:val="24"/>
        </w:rPr>
        <w:t xml:space="preserve"> Financial Inclusion Coordinator</w:t>
      </w:r>
      <w:r w:rsidRPr="00B67D0B">
        <w:rPr>
          <w:rFonts w:cstheme="minorHAnsi"/>
          <w:sz w:val="24"/>
          <w:szCs w:val="24"/>
        </w:rPr>
        <w:t xml:space="preserve">.  </w:t>
      </w:r>
    </w:p>
    <w:p w14:paraId="7C64DEF9" w14:textId="77777777" w:rsidR="00737820" w:rsidRPr="00B67D0B" w:rsidRDefault="00737820" w:rsidP="00737820">
      <w:pPr>
        <w:rPr>
          <w:rFonts w:cstheme="minorHAnsi"/>
          <w:sz w:val="24"/>
          <w:szCs w:val="24"/>
        </w:rPr>
      </w:pPr>
      <w:r w:rsidRPr="00B67D0B">
        <w:rPr>
          <w:rFonts w:cstheme="minorHAnsi"/>
          <w:sz w:val="24"/>
          <w:szCs w:val="24"/>
        </w:rPr>
        <w:t xml:space="preserve">These can include requests from Housing Income Team, Tenancy </w:t>
      </w:r>
      <w:proofErr w:type="gramStart"/>
      <w:r w:rsidRPr="00B67D0B">
        <w:rPr>
          <w:rFonts w:cstheme="minorHAnsi"/>
          <w:sz w:val="24"/>
          <w:szCs w:val="24"/>
        </w:rPr>
        <w:t>Support</w:t>
      </w:r>
      <w:proofErr w:type="gramEnd"/>
      <w:r w:rsidRPr="00B67D0B">
        <w:rPr>
          <w:rFonts w:cstheme="minorHAnsi"/>
          <w:sz w:val="24"/>
          <w:szCs w:val="24"/>
        </w:rPr>
        <w:t xml:space="preserve"> or other departments within the Council to determine affordability for a current or future Council property.</w:t>
      </w:r>
    </w:p>
    <w:p w14:paraId="44CADF82" w14:textId="77777777" w:rsidR="00737820" w:rsidRPr="00B67D0B" w:rsidRDefault="00737820" w:rsidP="00737820">
      <w:pPr>
        <w:rPr>
          <w:rFonts w:cstheme="minorHAnsi"/>
          <w:sz w:val="24"/>
          <w:szCs w:val="24"/>
        </w:rPr>
      </w:pPr>
      <w:r w:rsidRPr="00B67D0B">
        <w:rPr>
          <w:rFonts w:cstheme="minorHAnsi"/>
          <w:sz w:val="24"/>
          <w:szCs w:val="24"/>
        </w:rPr>
        <w:lastRenderedPageBreak/>
        <w:t>Within this bracket falls Furnished upgrade requests, which come directly from the Rotherham Furnished Homes team and are to assess a tenant’s ability to afford an increase in package.</w:t>
      </w:r>
    </w:p>
    <w:p w14:paraId="35ED4B2E" w14:textId="77777777" w:rsidR="00737820" w:rsidRPr="00B67D0B" w:rsidRDefault="00737820" w:rsidP="00737820">
      <w:pPr>
        <w:rPr>
          <w:rFonts w:cstheme="minorHAnsi"/>
          <w:sz w:val="24"/>
          <w:szCs w:val="24"/>
        </w:rPr>
      </w:pPr>
      <w:r w:rsidRPr="00B67D0B">
        <w:rPr>
          <w:rFonts w:cstheme="minorHAnsi"/>
          <w:sz w:val="24"/>
          <w:szCs w:val="24"/>
        </w:rPr>
        <w:t>In most cases a full I&amp;E is not required but where it is the team will contact the customer and make the necessary arrangements for this to take place.</w:t>
      </w:r>
    </w:p>
    <w:p w14:paraId="029B4602" w14:textId="59B65B58" w:rsidR="00737820" w:rsidRDefault="00737820" w:rsidP="008772DB">
      <w:pPr>
        <w:rPr>
          <w:rFonts w:cstheme="minorHAnsi"/>
          <w:sz w:val="24"/>
          <w:szCs w:val="24"/>
        </w:rPr>
      </w:pPr>
    </w:p>
    <w:p w14:paraId="43DB1CEE" w14:textId="47F1A7C2" w:rsidR="003271A7" w:rsidRDefault="003271A7" w:rsidP="008772DB">
      <w:pPr>
        <w:rPr>
          <w:rFonts w:cstheme="minorHAnsi"/>
          <w:sz w:val="24"/>
          <w:szCs w:val="24"/>
        </w:rPr>
      </w:pPr>
    </w:p>
    <w:p w14:paraId="1CBD9A64" w14:textId="77777777" w:rsidR="003271A7" w:rsidRPr="00B67D0B" w:rsidRDefault="003271A7" w:rsidP="008772DB">
      <w:pPr>
        <w:rPr>
          <w:rFonts w:cstheme="minorHAnsi"/>
          <w:sz w:val="24"/>
          <w:szCs w:val="24"/>
        </w:rPr>
      </w:pPr>
    </w:p>
    <w:p w14:paraId="0D2A2A82" w14:textId="5BE88AB5" w:rsidR="00737820" w:rsidRPr="00B67D0B" w:rsidRDefault="00F8255A" w:rsidP="008772DB">
      <w:pPr>
        <w:rPr>
          <w:rFonts w:cstheme="minorHAnsi"/>
          <w:b/>
          <w:bCs/>
          <w:sz w:val="24"/>
          <w:szCs w:val="24"/>
        </w:rPr>
      </w:pPr>
      <w:r>
        <w:rPr>
          <w:rFonts w:cstheme="minorHAnsi"/>
          <w:b/>
          <w:bCs/>
          <w:sz w:val="24"/>
          <w:szCs w:val="24"/>
        </w:rPr>
        <w:t>3</w:t>
      </w:r>
      <w:r w:rsidR="00B67D0B" w:rsidRPr="00B67D0B">
        <w:rPr>
          <w:rFonts w:cstheme="minorHAnsi"/>
          <w:b/>
          <w:bCs/>
          <w:sz w:val="24"/>
          <w:szCs w:val="24"/>
        </w:rPr>
        <w:t>.1</w:t>
      </w:r>
      <w:r w:rsidR="0048396B">
        <w:rPr>
          <w:rFonts w:cstheme="minorHAnsi"/>
          <w:b/>
          <w:bCs/>
          <w:sz w:val="24"/>
          <w:szCs w:val="24"/>
        </w:rPr>
        <w:t>2</w:t>
      </w:r>
      <w:r w:rsidR="00B67D0B" w:rsidRPr="00B67D0B">
        <w:rPr>
          <w:rFonts w:cstheme="minorHAnsi"/>
          <w:b/>
          <w:bCs/>
          <w:sz w:val="24"/>
          <w:szCs w:val="24"/>
        </w:rPr>
        <w:t xml:space="preserve"> </w:t>
      </w:r>
      <w:r w:rsidR="00737820" w:rsidRPr="00B67D0B">
        <w:rPr>
          <w:rFonts w:cstheme="minorHAnsi"/>
          <w:b/>
          <w:bCs/>
          <w:sz w:val="24"/>
          <w:szCs w:val="24"/>
        </w:rPr>
        <w:t>Referrals</w:t>
      </w:r>
    </w:p>
    <w:p w14:paraId="5394D9FC" w14:textId="77777777" w:rsidR="00737820" w:rsidRPr="00B67D0B" w:rsidRDefault="00737820" w:rsidP="00737820">
      <w:pPr>
        <w:rPr>
          <w:rFonts w:cstheme="minorHAnsi"/>
          <w:sz w:val="24"/>
          <w:szCs w:val="24"/>
        </w:rPr>
      </w:pPr>
      <w:r w:rsidRPr="00B67D0B">
        <w:rPr>
          <w:rFonts w:cstheme="minorHAnsi"/>
          <w:sz w:val="24"/>
          <w:szCs w:val="24"/>
        </w:rPr>
        <w:t>As part of the I&amp;E process a customer can be identified as benefitting from support provided by a third party, these could include support around:</w:t>
      </w:r>
    </w:p>
    <w:p w14:paraId="107B735D" w14:textId="77777777" w:rsidR="00737820" w:rsidRPr="00B67D0B" w:rsidRDefault="00737820" w:rsidP="00737820">
      <w:pPr>
        <w:pStyle w:val="ListParagraph"/>
        <w:numPr>
          <w:ilvl w:val="0"/>
          <w:numId w:val="13"/>
        </w:numPr>
        <w:spacing w:after="160" w:line="259" w:lineRule="auto"/>
        <w:rPr>
          <w:rFonts w:cstheme="minorHAnsi"/>
          <w:sz w:val="24"/>
          <w:szCs w:val="24"/>
        </w:rPr>
      </w:pPr>
      <w:r w:rsidRPr="00B67D0B">
        <w:rPr>
          <w:rFonts w:cstheme="minorHAnsi"/>
          <w:sz w:val="24"/>
          <w:szCs w:val="24"/>
        </w:rPr>
        <w:t>Tenancy Support (RMBC, Young Tenants etc)</w:t>
      </w:r>
    </w:p>
    <w:p w14:paraId="6B056FF4" w14:textId="77777777" w:rsidR="00737820" w:rsidRPr="00B67D0B" w:rsidRDefault="00737820" w:rsidP="00737820">
      <w:pPr>
        <w:pStyle w:val="ListParagraph"/>
        <w:numPr>
          <w:ilvl w:val="0"/>
          <w:numId w:val="13"/>
        </w:numPr>
        <w:spacing w:after="160" w:line="259" w:lineRule="auto"/>
        <w:rPr>
          <w:rFonts w:cstheme="minorHAnsi"/>
          <w:sz w:val="24"/>
          <w:szCs w:val="24"/>
        </w:rPr>
      </w:pPr>
      <w:r w:rsidRPr="00B67D0B">
        <w:rPr>
          <w:rFonts w:cstheme="minorHAnsi"/>
          <w:sz w:val="24"/>
          <w:szCs w:val="24"/>
        </w:rPr>
        <w:t>Employment Support</w:t>
      </w:r>
    </w:p>
    <w:p w14:paraId="4AA4D42F" w14:textId="77777777" w:rsidR="00737820" w:rsidRPr="00B67D0B" w:rsidRDefault="00737820" w:rsidP="00737820">
      <w:pPr>
        <w:pStyle w:val="ListParagraph"/>
        <w:numPr>
          <w:ilvl w:val="0"/>
          <w:numId w:val="13"/>
        </w:numPr>
        <w:spacing w:after="160" w:line="259" w:lineRule="auto"/>
        <w:rPr>
          <w:rFonts w:cstheme="minorHAnsi"/>
          <w:sz w:val="24"/>
          <w:szCs w:val="24"/>
        </w:rPr>
      </w:pPr>
      <w:r w:rsidRPr="00B67D0B">
        <w:rPr>
          <w:rFonts w:cstheme="minorHAnsi"/>
          <w:sz w:val="24"/>
          <w:szCs w:val="24"/>
        </w:rPr>
        <w:t>Money Advice</w:t>
      </w:r>
    </w:p>
    <w:p w14:paraId="306CE252" w14:textId="77777777" w:rsidR="00737820" w:rsidRPr="00B67D0B" w:rsidRDefault="00737820" w:rsidP="00737820">
      <w:pPr>
        <w:pStyle w:val="ListParagraph"/>
        <w:numPr>
          <w:ilvl w:val="0"/>
          <w:numId w:val="13"/>
        </w:numPr>
        <w:spacing w:after="160" w:line="259" w:lineRule="auto"/>
        <w:rPr>
          <w:rFonts w:cstheme="minorHAnsi"/>
          <w:sz w:val="24"/>
          <w:szCs w:val="24"/>
        </w:rPr>
      </w:pPr>
      <w:r w:rsidRPr="00B67D0B">
        <w:rPr>
          <w:rFonts w:cstheme="minorHAnsi"/>
          <w:sz w:val="24"/>
          <w:szCs w:val="24"/>
        </w:rPr>
        <w:t>Advocacy and Appeals</w:t>
      </w:r>
    </w:p>
    <w:p w14:paraId="5C33360F" w14:textId="77777777" w:rsidR="00737820" w:rsidRPr="00B67D0B" w:rsidRDefault="00737820" w:rsidP="00737820">
      <w:pPr>
        <w:pStyle w:val="ListParagraph"/>
        <w:numPr>
          <w:ilvl w:val="0"/>
          <w:numId w:val="13"/>
        </w:numPr>
        <w:spacing w:after="160" w:line="259" w:lineRule="auto"/>
        <w:rPr>
          <w:rFonts w:cstheme="minorHAnsi"/>
          <w:sz w:val="24"/>
          <w:szCs w:val="24"/>
        </w:rPr>
      </w:pPr>
      <w:r w:rsidRPr="00B67D0B">
        <w:rPr>
          <w:rFonts w:cstheme="minorHAnsi"/>
          <w:sz w:val="24"/>
          <w:szCs w:val="24"/>
        </w:rPr>
        <w:t>Citizens Advice Bureau (CAB)</w:t>
      </w:r>
    </w:p>
    <w:p w14:paraId="33ADC839" w14:textId="77777777" w:rsidR="00737820" w:rsidRPr="00B67D0B" w:rsidRDefault="00737820" w:rsidP="00737820">
      <w:pPr>
        <w:pStyle w:val="ListParagraph"/>
        <w:numPr>
          <w:ilvl w:val="0"/>
          <w:numId w:val="13"/>
        </w:numPr>
        <w:spacing w:after="160" w:line="259" w:lineRule="auto"/>
        <w:rPr>
          <w:rFonts w:cstheme="minorHAnsi"/>
          <w:sz w:val="24"/>
          <w:szCs w:val="24"/>
        </w:rPr>
      </w:pPr>
      <w:r w:rsidRPr="00B67D0B">
        <w:rPr>
          <w:rFonts w:cstheme="minorHAnsi"/>
          <w:sz w:val="24"/>
          <w:szCs w:val="24"/>
        </w:rPr>
        <w:t>CGL (Drugs/Alcohol)</w:t>
      </w:r>
    </w:p>
    <w:p w14:paraId="2CE70654" w14:textId="77777777" w:rsidR="00737820" w:rsidRPr="00B67D0B" w:rsidRDefault="00737820" w:rsidP="00737820">
      <w:pPr>
        <w:pStyle w:val="ListParagraph"/>
        <w:numPr>
          <w:ilvl w:val="0"/>
          <w:numId w:val="13"/>
        </w:numPr>
        <w:spacing w:after="160" w:line="259" w:lineRule="auto"/>
        <w:rPr>
          <w:rFonts w:cstheme="minorHAnsi"/>
          <w:sz w:val="24"/>
          <w:szCs w:val="24"/>
        </w:rPr>
      </w:pPr>
      <w:r w:rsidRPr="00B67D0B">
        <w:rPr>
          <w:rFonts w:cstheme="minorHAnsi"/>
          <w:sz w:val="24"/>
          <w:szCs w:val="24"/>
        </w:rPr>
        <w:t xml:space="preserve">Gambling </w:t>
      </w:r>
    </w:p>
    <w:p w14:paraId="35EA9344" w14:textId="77777777" w:rsidR="00737820" w:rsidRPr="00B67D0B" w:rsidRDefault="00737820" w:rsidP="00737820">
      <w:pPr>
        <w:pStyle w:val="ListParagraph"/>
        <w:numPr>
          <w:ilvl w:val="0"/>
          <w:numId w:val="13"/>
        </w:numPr>
        <w:spacing w:after="160" w:line="259" w:lineRule="auto"/>
        <w:rPr>
          <w:rFonts w:cstheme="minorHAnsi"/>
          <w:sz w:val="24"/>
          <w:szCs w:val="24"/>
        </w:rPr>
      </w:pPr>
      <w:r w:rsidRPr="00B67D0B">
        <w:rPr>
          <w:rFonts w:cstheme="minorHAnsi"/>
          <w:sz w:val="24"/>
          <w:szCs w:val="24"/>
        </w:rPr>
        <w:t>Mental Health</w:t>
      </w:r>
    </w:p>
    <w:p w14:paraId="03206DE0" w14:textId="77777777" w:rsidR="00737820" w:rsidRPr="00B67D0B" w:rsidRDefault="00737820" w:rsidP="00737820">
      <w:pPr>
        <w:rPr>
          <w:rFonts w:cstheme="minorHAnsi"/>
          <w:i/>
          <w:iCs/>
          <w:sz w:val="24"/>
          <w:szCs w:val="24"/>
        </w:rPr>
      </w:pPr>
      <w:r w:rsidRPr="00B67D0B">
        <w:rPr>
          <w:rFonts w:cstheme="minorHAnsi"/>
          <w:i/>
          <w:iCs/>
          <w:sz w:val="24"/>
          <w:szCs w:val="24"/>
        </w:rPr>
        <w:t>This is not an exhaustive list.</w:t>
      </w:r>
    </w:p>
    <w:p w14:paraId="0E23D982" w14:textId="02CDC623" w:rsidR="00737820" w:rsidRPr="00B67D0B" w:rsidRDefault="00737820" w:rsidP="00737820">
      <w:pPr>
        <w:rPr>
          <w:rFonts w:cstheme="minorHAnsi"/>
          <w:sz w:val="24"/>
          <w:szCs w:val="24"/>
        </w:rPr>
      </w:pPr>
      <w:r w:rsidRPr="00B67D0B">
        <w:rPr>
          <w:rFonts w:cstheme="minorHAnsi"/>
          <w:sz w:val="24"/>
          <w:szCs w:val="24"/>
        </w:rPr>
        <w:t xml:space="preserve">Where a referral is made a copy of this will be attached to </w:t>
      </w:r>
      <w:r w:rsidR="009D3244">
        <w:rPr>
          <w:rFonts w:cstheme="minorHAnsi"/>
          <w:sz w:val="24"/>
          <w:szCs w:val="24"/>
        </w:rPr>
        <w:t>Housing Management System</w:t>
      </w:r>
      <w:r w:rsidRPr="00B67D0B">
        <w:rPr>
          <w:rFonts w:cstheme="minorHAnsi"/>
          <w:sz w:val="24"/>
          <w:szCs w:val="24"/>
        </w:rPr>
        <w:t xml:space="preserve">.  In the case of self-referring </w:t>
      </w:r>
      <w:r w:rsidR="002D7EA9" w:rsidRPr="00B67D0B">
        <w:rPr>
          <w:rFonts w:cstheme="minorHAnsi"/>
          <w:sz w:val="24"/>
          <w:szCs w:val="24"/>
        </w:rPr>
        <w:t>organisations,</w:t>
      </w:r>
      <w:r w:rsidRPr="00B67D0B">
        <w:rPr>
          <w:rFonts w:cstheme="minorHAnsi"/>
          <w:sz w:val="24"/>
          <w:szCs w:val="24"/>
        </w:rPr>
        <w:t xml:space="preserve"> the customer will be provided with the contact details and encouraged to seek help.</w:t>
      </w:r>
    </w:p>
    <w:p w14:paraId="7358D123" w14:textId="61903B64" w:rsidR="00737820" w:rsidRPr="00B67D0B" w:rsidRDefault="00737820" w:rsidP="008772DB">
      <w:pPr>
        <w:rPr>
          <w:rFonts w:cstheme="minorHAnsi"/>
          <w:sz w:val="24"/>
          <w:szCs w:val="24"/>
        </w:rPr>
      </w:pPr>
    </w:p>
    <w:p w14:paraId="75435533" w14:textId="5769FCDE" w:rsidR="00737820" w:rsidRPr="00B67D0B" w:rsidRDefault="00F8255A" w:rsidP="008772DB">
      <w:pPr>
        <w:rPr>
          <w:rFonts w:cstheme="minorHAnsi"/>
          <w:b/>
          <w:bCs/>
          <w:sz w:val="24"/>
          <w:szCs w:val="24"/>
        </w:rPr>
      </w:pPr>
      <w:r>
        <w:rPr>
          <w:rFonts w:cstheme="minorHAnsi"/>
          <w:b/>
          <w:bCs/>
          <w:sz w:val="24"/>
          <w:szCs w:val="24"/>
        </w:rPr>
        <w:t>3</w:t>
      </w:r>
      <w:r w:rsidR="00B67D0B" w:rsidRPr="00B67D0B">
        <w:rPr>
          <w:rFonts w:cstheme="minorHAnsi"/>
          <w:b/>
          <w:bCs/>
          <w:sz w:val="24"/>
          <w:szCs w:val="24"/>
        </w:rPr>
        <w:t>.1</w:t>
      </w:r>
      <w:r w:rsidR="00726BD5">
        <w:rPr>
          <w:rFonts w:cstheme="minorHAnsi"/>
          <w:b/>
          <w:bCs/>
          <w:sz w:val="24"/>
          <w:szCs w:val="24"/>
        </w:rPr>
        <w:t>3</w:t>
      </w:r>
      <w:r w:rsidR="00B67D0B" w:rsidRPr="00B67D0B">
        <w:rPr>
          <w:rFonts w:cstheme="minorHAnsi"/>
          <w:b/>
          <w:bCs/>
          <w:sz w:val="24"/>
          <w:szCs w:val="24"/>
        </w:rPr>
        <w:t xml:space="preserve"> </w:t>
      </w:r>
      <w:r w:rsidR="00737820" w:rsidRPr="00B67D0B">
        <w:rPr>
          <w:rFonts w:cstheme="minorHAnsi"/>
          <w:b/>
          <w:bCs/>
          <w:sz w:val="24"/>
          <w:szCs w:val="24"/>
        </w:rPr>
        <w:t>Related Documents</w:t>
      </w:r>
    </w:p>
    <w:p w14:paraId="6882EE4E" w14:textId="77777777" w:rsidR="00737820" w:rsidRPr="00B67D0B" w:rsidRDefault="00737820" w:rsidP="00737820">
      <w:pPr>
        <w:rPr>
          <w:rFonts w:cstheme="minorHAnsi"/>
          <w:sz w:val="24"/>
          <w:szCs w:val="24"/>
        </w:rPr>
      </w:pPr>
      <w:r w:rsidRPr="00B67D0B">
        <w:rPr>
          <w:rFonts w:cstheme="minorHAnsi"/>
          <w:sz w:val="24"/>
          <w:szCs w:val="24"/>
        </w:rPr>
        <w:t>This framework has been drawn up with reference to relevant legislation, including but not limited to:</w:t>
      </w:r>
    </w:p>
    <w:p w14:paraId="01FD1D54" w14:textId="77777777" w:rsidR="00737820" w:rsidRPr="00B67D0B" w:rsidRDefault="00737820" w:rsidP="00737820">
      <w:pPr>
        <w:pStyle w:val="ListParagraph"/>
        <w:numPr>
          <w:ilvl w:val="0"/>
          <w:numId w:val="4"/>
        </w:numPr>
        <w:rPr>
          <w:rFonts w:cstheme="minorHAnsi"/>
          <w:sz w:val="24"/>
          <w:szCs w:val="24"/>
        </w:rPr>
      </w:pPr>
      <w:r w:rsidRPr="00B67D0B">
        <w:rPr>
          <w:rFonts w:cstheme="minorHAnsi"/>
          <w:sz w:val="24"/>
          <w:szCs w:val="24"/>
        </w:rPr>
        <w:t>Financial Inclusion Policy</w:t>
      </w:r>
    </w:p>
    <w:p w14:paraId="665ABDB6" w14:textId="77777777" w:rsidR="00737820" w:rsidRPr="00B67D0B" w:rsidRDefault="00737820" w:rsidP="00737820">
      <w:pPr>
        <w:pStyle w:val="ListParagraph"/>
        <w:numPr>
          <w:ilvl w:val="0"/>
          <w:numId w:val="4"/>
        </w:numPr>
        <w:rPr>
          <w:rFonts w:cstheme="minorHAnsi"/>
          <w:sz w:val="24"/>
          <w:szCs w:val="24"/>
        </w:rPr>
      </w:pPr>
      <w:r w:rsidRPr="00B67D0B">
        <w:rPr>
          <w:rFonts w:cstheme="minorHAnsi"/>
          <w:sz w:val="24"/>
          <w:szCs w:val="24"/>
        </w:rPr>
        <w:t>Income Recovery Framework</w:t>
      </w:r>
    </w:p>
    <w:p w14:paraId="422CD0AD" w14:textId="77777777" w:rsidR="00737820" w:rsidRPr="00B67D0B" w:rsidRDefault="00737820" w:rsidP="00737820">
      <w:pPr>
        <w:pStyle w:val="ListParagraph"/>
        <w:numPr>
          <w:ilvl w:val="0"/>
          <w:numId w:val="4"/>
        </w:numPr>
        <w:rPr>
          <w:rFonts w:cstheme="minorHAnsi"/>
          <w:sz w:val="24"/>
          <w:szCs w:val="24"/>
        </w:rPr>
      </w:pPr>
      <w:r w:rsidRPr="00B67D0B">
        <w:rPr>
          <w:rFonts w:cstheme="minorHAnsi"/>
          <w:sz w:val="24"/>
          <w:szCs w:val="24"/>
        </w:rPr>
        <w:t>Housing Allocation Policy</w:t>
      </w:r>
    </w:p>
    <w:p w14:paraId="4C4E5A5C" w14:textId="77777777" w:rsidR="00737820" w:rsidRPr="00B67D0B" w:rsidRDefault="00737820" w:rsidP="00737820">
      <w:pPr>
        <w:pStyle w:val="ListParagraph"/>
        <w:numPr>
          <w:ilvl w:val="0"/>
          <w:numId w:val="4"/>
        </w:numPr>
        <w:rPr>
          <w:rFonts w:cstheme="minorHAnsi"/>
          <w:sz w:val="24"/>
          <w:szCs w:val="24"/>
        </w:rPr>
      </w:pPr>
      <w:r w:rsidRPr="00B67D0B">
        <w:rPr>
          <w:rFonts w:cstheme="minorHAnsi"/>
          <w:sz w:val="24"/>
          <w:szCs w:val="24"/>
        </w:rPr>
        <w:t>Homeless Reduction Act</w:t>
      </w:r>
    </w:p>
    <w:p w14:paraId="031D1DFE" w14:textId="77777777" w:rsidR="003271A7" w:rsidRDefault="003271A7" w:rsidP="0081789E">
      <w:pPr>
        <w:spacing w:after="0"/>
        <w:rPr>
          <w:rFonts w:cstheme="minorHAnsi"/>
          <w:b/>
          <w:bCs/>
          <w:sz w:val="28"/>
          <w:szCs w:val="28"/>
        </w:rPr>
      </w:pPr>
    </w:p>
    <w:p w14:paraId="379805DC" w14:textId="30D8AACC" w:rsidR="0078569A" w:rsidRPr="00B67D0B" w:rsidRDefault="00F8255A" w:rsidP="0081789E">
      <w:pPr>
        <w:spacing w:after="0"/>
        <w:rPr>
          <w:rFonts w:cstheme="minorHAnsi"/>
          <w:b/>
          <w:bCs/>
          <w:sz w:val="24"/>
          <w:szCs w:val="24"/>
        </w:rPr>
      </w:pPr>
      <w:r w:rsidRPr="003271A7">
        <w:rPr>
          <w:rFonts w:cstheme="minorHAnsi"/>
          <w:b/>
          <w:bCs/>
          <w:sz w:val="28"/>
          <w:szCs w:val="28"/>
        </w:rPr>
        <w:t>4</w:t>
      </w:r>
      <w:r w:rsidR="008772DB" w:rsidRPr="003271A7">
        <w:rPr>
          <w:rFonts w:cstheme="minorHAnsi"/>
          <w:b/>
          <w:bCs/>
          <w:sz w:val="28"/>
          <w:szCs w:val="28"/>
        </w:rPr>
        <w:t>.0 Performance</w:t>
      </w:r>
    </w:p>
    <w:p w14:paraId="1D666B09" w14:textId="3F77A2C3" w:rsidR="00F53287" w:rsidRDefault="00F53287" w:rsidP="0081789E">
      <w:pPr>
        <w:spacing w:after="0"/>
        <w:rPr>
          <w:rFonts w:cstheme="minorHAnsi"/>
          <w:b/>
          <w:bCs/>
          <w:sz w:val="24"/>
          <w:szCs w:val="24"/>
        </w:rPr>
      </w:pPr>
    </w:p>
    <w:p w14:paraId="6BABDFF0" w14:textId="3BBAF6DE" w:rsidR="00F8255A" w:rsidRDefault="00F8255A" w:rsidP="0081789E">
      <w:pPr>
        <w:spacing w:after="0"/>
        <w:rPr>
          <w:rFonts w:cstheme="minorHAnsi"/>
          <w:b/>
          <w:bCs/>
          <w:sz w:val="24"/>
          <w:szCs w:val="24"/>
        </w:rPr>
      </w:pPr>
    </w:p>
    <w:tbl>
      <w:tblPr>
        <w:tblStyle w:val="TableGrid"/>
        <w:tblW w:w="9209" w:type="dxa"/>
        <w:tblLook w:val="04A0" w:firstRow="1" w:lastRow="0" w:firstColumn="1" w:lastColumn="0" w:noHBand="0" w:noVBand="1"/>
      </w:tblPr>
      <w:tblGrid>
        <w:gridCol w:w="1804"/>
        <w:gridCol w:w="1803"/>
        <w:gridCol w:w="1803"/>
        <w:gridCol w:w="1956"/>
        <w:gridCol w:w="1843"/>
      </w:tblGrid>
      <w:tr w:rsidR="00F8255A" w14:paraId="4CF392A3" w14:textId="77777777" w:rsidTr="00F8255A">
        <w:trPr>
          <w:trHeight w:val="746"/>
        </w:trPr>
        <w:tc>
          <w:tcPr>
            <w:tcW w:w="1804" w:type="dxa"/>
            <w:shd w:val="clear" w:color="auto" w:fill="D9D9D9" w:themeFill="background1" w:themeFillShade="D9"/>
          </w:tcPr>
          <w:p w14:paraId="4288EAFB" w14:textId="77777777" w:rsidR="00F8255A" w:rsidRDefault="00F8255A" w:rsidP="00F01A1D">
            <w:pPr>
              <w:rPr>
                <w:b/>
                <w:bCs/>
                <w:sz w:val="24"/>
                <w:szCs w:val="24"/>
              </w:rPr>
            </w:pPr>
            <w:r w:rsidRPr="009B4986">
              <w:rPr>
                <w:b/>
                <w:bCs/>
                <w:sz w:val="24"/>
                <w:szCs w:val="24"/>
                <w:u w:val="single"/>
              </w:rPr>
              <w:t>Performance Indicator</w:t>
            </w:r>
          </w:p>
        </w:tc>
        <w:tc>
          <w:tcPr>
            <w:tcW w:w="1803" w:type="dxa"/>
            <w:shd w:val="clear" w:color="auto" w:fill="D9D9D9" w:themeFill="background1" w:themeFillShade="D9"/>
          </w:tcPr>
          <w:p w14:paraId="19AB74C1" w14:textId="77777777" w:rsidR="00F8255A" w:rsidRDefault="00F8255A" w:rsidP="00F01A1D">
            <w:pPr>
              <w:rPr>
                <w:b/>
                <w:bCs/>
                <w:sz w:val="24"/>
                <w:szCs w:val="24"/>
              </w:rPr>
            </w:pPr>
            <w:r w:rsidRPr="009B4986">
              <w:rPr>
                <w:b/>
                <w:bCs/>
                <w:sz w:val="24"/>
                <w:szCs w:val="24"/>
                <w:u w:val="single"/>
              </w:rPr>
              <w:t>Indicator Description</w:t>
            </w:r>
          </w:p>
        </w:tc>
        <w:tc>
          <w:tcPr>
            <w:tcW w:w="1803" w:type="dxa"/>
            <w:shd w:val="clear" w:color="auto" w:fill="D9D9D9" w:themeFill="background1" w:themeFillShade="D9"/>
          </w:tcPr>
          <w:p w14:paraId="61AAD439" w14:textId="63BF8147" w:rsidR="00F8255A" w:rsidRDefault="00F8255A" w:rsidP="00F01A1D">
            <w:pPr>
              <w:rPr>
                <w:b/>
                <w:bCs/>
                <w:sz w:val="24"/>
                <w:szCs w:val="24"/>
              </w:rPr>
            </w:pPr>
            <w:r w:rsidRPr="009B4986">
              <w:rPr>
                <w:b/>
                <w:bCs/>
                <w:sz w:val="24"/>
                <w:szCs w:val="24"/>
                <w:u w:val="single"/>
              </w:rPr>
              <w:t>Target 20</w:t>
            </w:r>
            <w:r>
              <w:rPr>
                <w:b/>
                <w:bCs/>
                <w:sz w:val="24"/>
                <w:szCs w:val="24"/>
                <w:u w:val="single"/>
              </w:rPr>
              <w:t>23</w:t>
            </w:r>
            <w:r w:rsidRPr="009B4986">
              <w:rPr>
                <w:b/>
                <w:bCs/>
                <w:sz w:val="24"/>
                <w:szCs w:val="24"/>
                <w:u w:val="single"/>
              </w:rPr>
              <w:t>/2</w:t>
            </w:r>
            <w:r>
              <w:rPr>
                <w:b/>
                <w:bCs/>
                <w:sz w:val="24"/>
                <w:szCs w:val="24"/>
                <w:u w:val="single"/>
              </w:rPr>
              <w:t>4</w:t>
            </w:r>
          </w:p>
        </w:tc>
        <w:tc>
          <w:tcPr>
            <w:tcW w:w="1956" w:type="dxa"/>
            <w:shd w:val="clear" w:color="auto" w:fill="D9D9D9" w:themeFill="background1" w:themeFillShade="D9"/>
          </w:tcPr>
          <w:p w14:paraId="719C6CD0" w14:textId="6C9DBFC4" w:rsidR="00F8255A" w:rsidRDefault="00F8255A" w:rsidP="00F01A1D">
            <w:pPr>
              <w:rPr>
                <w:b/>
                <w:bCs/>
                <w:sz w:val="24"/>
                <w:szCs w:val="24"/>
              </w:rPr>
            </w:pPr>
            <w:r w:rsidRPr="009B4986">
              <w:rPr>
                <w:b/>
                <w:bCs/>
                <w:sz w:val="24"/>
                <w:szCs w:val="24"/>
                <w:u w:val="single"/>
              </w:rPr>
              <w:t>Outturn 202</w:t>
            </w:r>
            <w:r>
              <w:rPr>
                <w:b/>
                <w:bCs/>
                <w:sz w:val="24"/>
                <w:szCs w:val="24"/>
                <w:u w:val="single"/>
              </w:rPr>
              <w:t>3</w:t>
            </w:r>
            <w:r w:rsidRPr="009B4986">
              <w:rPr>
                <w:b/>
                <w:bCs/>
                <w:sz w:val="24"/>
                <w:szCs w:val="24"/>
                <w:u w:val="single"/>
              </w:rPr>
              <w:t>/2</w:t>
            </w:r>
            <w:r>
              <w:rPr>
                <w:b/>
                <w:bCs/>
                <w:sz w:val="24"/>
                <w:szCs w:val="24"/>
                <w:u w:val="single"/>
              </w:rPr>
              <w:t>4</w:t>
            </w:r>
          </w:p>
        </w:tc>
        <w:tc>
          <w:tcPr>
            <w:tcW w:w="1843" w:type="dxa"/>
            <w:shd w:val="clear" w:color="auto" w:fill="D9D9D9" w:themeFill="background1" w:themeFillShade="D9"/>
          </w:tcPr>
          <w:p w14:paraId="19076D2A" w14:textId="5FBBE0C4" w:rsidR="00F8255A" w:rsidRDefault="00F8255A" w:rsidP="00F01A1D">
            <w:pPr>
              <w:rPr>
                <w:b/>
                <w:bCs/>
                <w:sz w:val="24"/>
                <w:szCs w:val="24"/>
              </w:rPr>
            </w:pPr>
            <w:r w:rsidRPr="009B4986">
              <w:rPr>
                <w:b/>
                <w:bCs/>
                <w:sz w:val="24"/>
                <w:szCs w:val="24"/>
                <w:u w:val="single"/>
              </w:rPr>
              <w:t>Target 202</w:t>
            </w:r>
            <w:r>
              <w:rPr>
                <w:b/>
                <w:bCs/>
                <w:sz w:val="24"/>
                <w:szCs w:val="24"/>
                <w:u w:val="single"/>
              </w:rPr>
              <w:t>4</w:t>
            </w:r>
            <w:r w:rsidRPr="009B4986">
              <w:rPr>
                <w:b/>
                <w:bCs/>
                <w:sz w:val="24"/>
                <w:szCs w:val="24"/>
                <w:u w:val="single"/>
              </w:rPr>
              <w:t>/2</w:t>
            </w:r>
            <w:r>
              <w:rPr>
                <w:b/>
                <w:bCs/>
                <w:sz w:val="24"/>
                <w:szCs w:val="24"/>
                <w:u w:val="single"/>
              </w:rPr>
              <w:t>5</w:t>
            </w:r>
          </w:p>
        </w:tc>
      </w:tr>
      <w:tr w:rsidR="00F8255A" w14:paraId="0E0E8F1B" w14:textId="77777777" w:rsidTr="00F8255A">
        <w:tc>
          <w:tcPr>
            <w:tcW w:w="1804" w:type="dxa"/>
          </w:tcPr>
          <w:p w14:paraId="374D61C4" w14:textId="42486D15" w:rsidR="00F8255A" w:rsidRDefault="00F8255A" w:rsidP="00F01A1D">
            <w:pPr>
              <w:rPr>
                <w:b/>
                <w:bCs/>
                <w:sz w:val="24"/>
                <w:szCs w:val="24"/>
              </w:rPr>
            </w:pPr>
            <w:r>
              <w:rPr>
                <w:b/>
                <w:bCs/>
                <w:sz w:val="24"/>
                <w:szCs w:val="24"/>
              </w:rPr>
              <w:t>FI 5</w:t>
            </w:r>
          </w:p>
        </w:tc>
        <w:tc>
          <w:tcPr>
            <w:tcW w:w="1803" w:type="dxa"/>
          </w:tcPr>
          <w:p w14:paraId="08D5FC47" w14:textId="77777777" w:rsidR="00F8255A" w:rsidRDefault="00F8255A" w:rsidP="00F8255A">
            <w:pPr>
              <w:rPr>
                <w:rFonts w:ascii="Arial" w:hAnsi="Arial" w:cs="Arial"/>
                <w:sz w:val="20"/>
                <w:szCs w:val="20"/>
              </w:rPr>
            </w:pPr>
            <w:r>
              <w:rPr>
                <w:rFonts w:ascii="Arial" w:hAnsi="Arial" w:cs="Arial"/>
                <w:sz w:val="20"/>
                <w:szCs w:val="20"/>
              </w:rPr>
              <w:t xml:space="preserve">Amount of additional welfare benefits sourced </w:t>
            </w:r>
          </w:p>
          <w:p w14:paraId="2EAC5AEB" w14:textId="219CDF7A" w:rsidR="00F8255A" w:rsidRPr="0078569A" w:rsidRDefault="00F8255A" w:rsidP="00F01A1D">
            <w:pPr>
              <w:rPr>
                <w:sz w:val="24"/>
                <w:szCs w:val="24"/>
              </w:rPr>
            </w:pPr>
          </w:p>
        </w:tc>
        <w:tc>
          <w:tcPr>
            <w:tcW w:w="1803" w:type="dxa"/>
          </w:tcPr>
          <w:p w14:paraId="0A41A131" w14:textId="77777777" w:rsidR="00F8255A" w:rsidRDefault="00F8255A" w:rsidP="00F8255A">
            <w:pPr>
              <w:rPr>
                <w:rFonts w:ascii="Arial" w:hAnsi="Arial" w:cs="Arial"/>
                <w:sz w:val="20"/>
                <w:szCs w:val="20"/>
              </w:rPr>
            </w:pPr>
            <w:r>
              <w:rPr>
                <w:rFonts w:ascii="Arial" w:hAnsi="Arial" w:cs="Arial"/>
                <w:sz w:val="20"/>
                <w:szCs w:val="20"/>
              </w:rPr>
              <w:t>£1,088,040.00</w:t>
            </w:r>
          </w:p>
          <w:p w14:paraId="2528C47C" w14:textId="669B8B55" w:rsidR="00F8255A" w:rsidRPr="0078569A" w:rsidRDefault="001D7D70" w:rsidP="00F01A1D">
            <w:pPr>
              <w:rPr>
                <w:sz w:val="24"/>
                <w:szCs w:val="24"/>
              </w:rPr>
            </w:pPr>
            <w:r>
              <w:rPr>
                <w:sz w:val="24"/>
                <w:szCs w:val="24"/>
              </w:rPr>
              <w:t>(Total salaries for FI team)</w:t>
            </w:r>
          </w:p>
        </w:tc>
        <w:tc>
          <w:tcPr>
            <w:tcW w:w="1956" w:type="dxa"/>
          </w:tcPr>
          <w:p w14:paraId="28069E18" w14:textId="53E625AB" w:rsidR="00F8255A" w:rsidRPr="001D7D70" w:rsidRDefault="001D7D70" w:rsidP="00F01A1D">
            <w:pPr>
              <w:rPr>
                <w:rFonts w:ascii="Arial" w:hAnsi="Arial" w:cs="Arial"/>
                <w:sz w:val="20"/>
                <w:szCs w:val="20"/>
              </w:rPr>
            </w:pPr>
            <w:r w:rsidRPr="001D7D70">
              <w:rPr>
                <w:rFonts w:ascii="Arial" w:hAnsi="Arial" w:cs="Arial"/>
                <w:sz w:val="20"/>
                <w:szCs w:val="20"/>
              </w:rPr>
              <w:t>£1,344,188.00</w:t>
            </w:r>
          </w:p>
        </w:tc>
        <w:tc>
          <w:tcPr>
            <w:tcW w:w="1843" w:type="dxa"/>
          </w:tcPr>
          <w:p w14:paraId="604522A7" w14:textId="6D5FDA85" w:rsidR="00F8255A" w:rsidRPr="001D7D70" w:rsidRDefault="001D7D70" w:rsidP="00F01A1D">
            <w:pPr>
              <w:rPr>
                <w:rFonts w:ascii="Arial" w:hAnsi="Arial" w:cs="Arial"/>
                <w:sz w:val="20"/>
                <w:szCs w:val="20"/>
              </w:rPr>
            </w:pPr>
            <w:r w:rsidRPr="001D7D70">
              <w:rPr>
                <w:rFonts w:ascii="Arial" w:hAnsi="Arial" w:cs="Arial"/>
                <w:sz w:val="20"/>
                <w:szCs w:val="20"/>
              </w:rPr>
              <w:t>£</w:t>
            </w:r>
            <w:r>
              <w:rPr>
                <w:rFonts w:ascii="Arial" w:hAnsi="Arial" w:cs="Arial"/>
                <w:sz w:val="20"/>
                <w:szCs w:val="20"/>
              </w:rPr>
              <w:t>987,900.00</w:t>
            </w:r>
          </w:p>
          <w:p w14:paraId="20EBB86A" w14:textId="4F9D69F0" w:rsidR="001D7D70" w:rsidRPr="001D7D70" w:rsidRDefault="001D7D70" w:rsidP="00F01A1D">
            <w:pPr>
              <w:rPr>
                <w:rFonts w:ascii="Arial" w:hAnsi="Arial" w:cs="Arial"/>
                <w:sz w:val="20"/>
                <w:szCs w:val="20"/>
              </w:rPr>
            </w:pPr>
            <w:r w:rsidRPr="001D7D70">
              <w:rPr>
                <w:rFonts w:ascii="Arial" w:hAnsi="Arial" w:cs="Arial"/>
                <w:sz w:val="20"/>
                <w:szCs w:val="20"/>
              </w:rPr>
              <w:t>(Total salaries for FI Team-reduced due to Employment Solutions Team being replaced by Money and Benefits Service)</w:t>
            </w:r>
          </w:p>
        </w:tc>
      </w:tr>
      <w:tr w:rsidR="00F8255A" w14:paraId="3A584A20" w14:textId="77777777" w:rsidTr="00F8255A">
        <w:tc>
          <w:tcPr>
            <w:tcW w:w="1804" w:type="dxa"/>
          </w:tcPr>
          <w:p w14:paraId="5F94B50E" w14:textId="20B948F7" w:rsidR="00F8255A" w:rsidRDefault="00F8255A" w:rsidP="00F01A1D">
            <w:pPr>
              <w:rPr>
                <w:b/>
                <w:bCs/>
                <w:sz w:val="24"/>
                <w:szCs w:val="24"/>
              </w:rPr>
            </w:pPr>
            <w:r>
              <w:rPr>
                <w:b/>
                <w:bCs/>
                <w:sz w:val="24"/>
                <w:szCs w:val="24"/>
              </w:rPr>
              <w:t>FI 8</w:t>
            </w:r>
          </w:p>
        </w:tc>
        <w:tc>
          <w:tcPr>
            <w:tcW w:w="1803" w:type="dxa"/>
          </w:tcPr>
          <w:p w14:paraId="66F2C767" w14:textId="2C491DF9" w:rsidR="00F8255A" w:rsidRPr="003271A7" w:rsidRDefault="00F8255A" w:rsidP="00F01A1D">
            <w:pPr>
              <w:rPr>
                <w:rFonts w:ascii="Arial" w:hAnsi="Arial" w:cs="Arial"/>
                <w:sz w:val="20"/>
                <w:szCs w:val="20"/>
              </w:rPr>
            </w:pPr>
            <w:r>
              <w:rPr>
                <w:rFonts w:ascii="Arial" w:hAnsi="Arial" w:cs="Arial"/>
                <w:sz w:val="20"/>
                <w:szCs w:val="20"/>
              </w:rPr>
              <w:t>Customer Satisfaction with (IPT and TSO) provision (when case is closed)</w:t>
            </w:r>
          </w:p>
        </w:tc>
        <w:tc>
          <w:tcPr>
            <w:tcW w:w="1803" w:type="dxa"/>
          </w:tcPr>
          <w:p w14:paraId="0AD8BB26" w14:textId="7A899D8B" w:rsidR="00F8255A" w:rsidRPr="0078569A" w:rsidRDefault="00F8255A" w:rsidP="00F01A1D">
            <w:pPr>
              <w:rPr>
                <w:sz w:val="24"/>
                <w:szCs w:val="24"/>
              </w:rPr>
            </w:pPr>
            <w:r>
              <w:rPr>
                <w:sz w:val="24"/>
                <w:szCs w:val="24"/>
              </w:rPr>
              <w:t>98%</w:t>
            </w:r>
          </w:p>
        </w:tc>
        <w:tc>
          <w:tcPr>
            <w:tcW w:w="1956" w:type="dxa"/>
          </w:tcPr>
          <w:p w14:paraId="37905687" w14:textId="3A413904" w:rsidR="00F8255A" w:rsidRPr="001D7D70" w:rsidRDefault="001D7D70" w:rsidP="001D7D70">
            <w:pPr>
              <w:jc w:val="center"/>
              <w:rPr>
                <w:rFonts w:ascii="Arial" w:hAnsi="Arial" w:cs="Arial"/>
                <w:b/>
                <w:bCs/>
                <w:sz w:val="20"/>
                <w:szCs w:val="20"/>
              </w:rPr>
            </w:pPr>
            <w:r w:rsidRPr="001D7D70">
              <w:rPr>
                <w:rFonts w:ascii="Arial" w:hAnsi="Arial" w:cs="Arial"/>
                <w:b/>
                <w:bCs/>
                <w:sz w:val="20"/>
                <w:szCs w:val="20"/>
              </w:rPr>
              <w:t>100%</w:t>
            </w:r>
          </w:p>
        </w:tc>
        <w:tc>
          <w:tcPr>
            <w:tcW w:w="1843" w:type="dxa"/>
          </w:tcPr>
          <w:p w14:paraId="37545BF3" w14:textId="2BA354B3" w:rsidR="00F8255A" w:rsidRPr="001D7D70" w:rsidRDefault="001D7D70" w:rsidP="00F01A1D">
            <w:pPr>
              <w:rPr>
                <w:rFonts w:ascii="Arial" w:hAnsi="Arial" w:cs="Arial"/>
                <w:sz w:val="20"/>
                <w:szCs w:val="20"/>
              </w:rPr>
            </w:pPr>
            <w:r w:rsidRPr="001D7D70">
              <w:rPr>
                <w:rFonts w:ascii="Arial" w:hAnsi="Arial" w:cs="Arial"/>
                <w:sz w:val="20"/>
                <w:szCs w:val="20"/>
              </w:rPr>
              <w:t>98%</w:t>
            </w:r>
          </w:p>
        </w:tc>
      </w:tr>
    </w:tbl>
    <w:p w14:paraId="09DB8607" w14:textId="77777777" w:rsidR="00F8255A" w:rsidRPr="00B67D0B" w:rsidRDefault="00F8255A" w:rsidP="0081789E">
      <w:pPr>
        <w:spacing w:after="0"/>
        <w:rPr>
          <w:rFonts w:cstheme="minorHAnsi"/>
          <w:b/>
          <w:bCs/>
          <w:sz w:val="24"/>
          <w:szCs w:val="24"/>
        </w:rPr>
      </w:pPr>
    </w:p>
    <w:p w14:paraId="3BE2716B" w14:textId="1A8DD81D" w:rsidR="005E4C00" w:rsidRPr="003271A7" w:rsidRDefault="00F8255A" w:rsidP="0081789E">
      <w:pPr>
        <w:spacing w:after="0"/>
        <w:rPr>
          <w:rFonts w:cstheme="minorHAnsi"/>
          <w:b/>
          <w:bCs/>
          <w:sz w:val="28"/>
          <w:szCs w:val="28"/>
        </w:rPr>
      </w:pPr>
      <w:r w:rsidRPr="003271A7">
        <w:rPr>
          <w:rFonts w:cstheme="minorHAnsi"/>
          <w:b/>
          <w:bCs/>
          <w:sz w:val="28"/>
          <w:szCs w:val="28"/>
        </w:rPr>
        <w:t>5</w:t>
      </w:r>
      <w:r w:rsidR="005E4C00" w:rsidRPr="003271A7">
        <w:rPr>
          <w:rFonts w:cstheme="minorHAnsi"/>
          <w:b/>
          <w:bCs/>
          <w:sz w:val="28"/>
          <w:szCs w:val="28"/>
        </w:rPr>
        <w:t>.0 Roles and Responsibilities</w:t>
      </w:r>
    </w:p>
    <w:p w14:paraId="4AD5C8AB" w14:textId="6E5B7945" w:rsidR="005E4C00" w:rsidRPr="00B67D0B" w:rsidRDefault="005E4C00" w:rsidP="0081789E">
      <w:pPr>
        <w:spacing w:after="0"/>
        <w:rPr>
          <w:rFonts w:cstheme="minorHAnsi"/>
          <w:sz w:val="24"/>
          <w:szCs w:val="24"/>
        </w:rPr>
      </w:pPr>
    </w:p>
    <w:p w14:paraId="6ABA3A6B" w14:textId="289878B6" w:rsidR="00CB4EB1" w:rsidRPr="00B67D0B" w:rsidRDefault="00656BB9" w:rsidP="000558A0">
      <w:pPr>
        <w:spacing w:after="0"/>
        <w:rPr>
          <w:rFonts w:cstheme="minorHAnsi"/>
          <w:sz w:val="24"/>
          <w:szCs w:val="24"/>
        </w:rPr>
      </w:pPr>
      <w:r w:rsidRPr="00B67D0B">
        <w:rPr>
          <w:rFonts w:cstheme="minorHAnsi"/>
          <w:sz w:val="24"/>
          <w:szCs w:val="24"/>
        </w:rPr>
        <w:t>The Assistant Director of Housing will retain the overall responsibility for the implementation of this framework</w:t>
      </w:r>
      <w:r w:rsidR="00737820" w:rsidRPr="00B67D0B">
        <w:rPr>
          <w:rFonts w:cstheme="minorHAnsi"/>
          <w:sz w:val="24"/>
          <w:szCs w:val="24"/>
        </w:rPr>
        <w:t>.</w:t>
      </w:r>
      <w:r w:rsidRPr="00B67D0B">
        <w:rPr>
          <w:rFonts w:cstheme="minorHAnsi"/>
          <w:sz w:val="24"/>
          <w:szCs w:val="24"/>
        </w:rPr>
        <w:t xml:space="preserve"> </w:t>
      </w:r>
      <w:r w:rsidR="00F8255A">
        <w:rPr>
          <w:rFonts w:cstheme="minorHAnsi"/>
          <w:sz w:val="24"/>
          <w:szCs w:val="24"/>
        </w:rPr>
        <w:t xml:space="preserve">The Financial Inclusion </w:t>
      </w:r>
      <w:r w:rsidR="00E62EFB">
        <w:rPr>
          <w:rFonts w:cstheme="minorHAnsi"/>
          <w:sz w:val="24"/>
          <w:szCs w:val="24"/>
        </w:rPr>
        <w:t>Manager</w:t>
      </w:r>
      <w:r w:rsidRPr="00B67D0B">
        <w:rPr>
          <w:rFonts w:cstheme="minorHAnsi"/>
          <w:sz w:val="24"/>
          <w:szCs w:val="24"/>
        </w:rPr>
        <w:t xml:space="preserve"> is responsible for the operational delivery of this framework and the associated procedures and has the responsibility for ensuring compliance with regulatory and legislative requirements.  </w:t>
      </w:r>
    </w:p>
    <w:p w14:paraId="2B74B8CC" w14:textId="77777777" w:rsidR="00B65E04" w:rsidRPr="00B67D0B" w:rsidRDefault="00B65E04" w:rsidP="000558A0">
      <w:pPr>
        <w:spacing w:after="0"/>
        <w:rPr>
          <w:rFonts w:cstheme="minorHAnsi"/>
          <w:sz w:val="24"/>
          <w:szCs w:val="24"/>
        </w:rPr>
      </w:pPr>
    </w:p>
    <w:p w14:paraId="47906472" w14:textId="096A4880" w:rsidR="00B00878" w:rsidRPr="00B67D0B" w:rsidRDefault="00B00878" w:rsidP="000558A0">
      <w:pPr>
        <w:spacing w:after="0"/>
        <w:rPr>
          <w:rFonts w:cstheme="minorHAnsi"/>
          <w:sz w:val="24"/>
          <w:szCs w:val="24"/>
        </w:rPr>
      </w:pPr>
    </w:p>
    <w:p w14:paraId="4D6C1D3B" w14:textId="33E5815B" w:rsidR="00B00878" w:rsidRPr="003271A7" w:rsidRDefault="00F8255A" w:rsidP="000558A0">
      <w:pPr>
        <w:spacing w:after="0"/>
        <w:rPr>
          <w:rFonts w:cstheme="minorHAnsi"/>
          <w:b/>
          <w:bCs/>
          <w:sz w:val="28"/>
          <w:szCs w:val="28"/>
        </w:rPr>
      </w:pPr>
      <w:bookmarkStart w:id="3" w:name="_Hlk129687678"/>
      <w:r w:rsidRPr="003271A7">
        <w:rPr>
          <w:rFonts w:cstheme="minorHAnsi"/>
          <w:b/>
          <w:bCs/>
          <w:sz w:val="28"/>
          <w:szCs w:val="28"/>
        </w:rPr>
        <w:t>6</w:t>
      </w:r>
      <w:r w:rsidR="00B00878" w:rsidRPr="003271A7">
        <w:rPr>
          <w:rFonts w:cstheme="minorHAnsi"/>
          <w:b/>
          <w:bCs/>
          <w:sz w:val="28"/>
          <w:szCs w:val="28"/>
        </w:rPr>
        <w:t xml:space="preserve">.0 Monitoring, </w:t>
      </w:r>
      <w:r w:rsidR="00757276" w:rsidRPr="003271A7">
        <w:rPr>
          <w:rFonts w:cstheme="minorHAnsi"/>
          <w:b/>
          <w:bCs/>
          <w:sz w:val="28"/>
          <w:szCs w:val="28"/>
        </w:rPr>
        <w:t>R</w:t>
      </w:r>
      <w:r w:rsidR="00B00878" w:rsidRPr="003271A7">
        <w:rPr>
          <w:rFonts w:cstheme="minorHAnsi"/>
          <w:b/>
          <w:bCs/>
          <w:sz w:val="28"/>
          <w:szCs w:val="28"/>
        </w:rPr>
        <w:t xml:space="preserve">eviewing and </w:t>
      </w:r>
      <w:r w:rsidR="00757276" w:rsidRPr="003271A7">
        <w:rPr>
          <w:rFonts w:cstheme="minorHAnsi"/>
          <w:b/>
          <w:bCs/>
          <w:sz w:val="28"/>
          <w:szCs w:val="28"/>
        </w:rPr>
        <w:t>E</w:t>
      </w:r>
      <w:r w:rsidR="00B00878" w:rsidRPr="003271A7">
        <w:rPr>
          <w:rFonts w:cstheme="minorHAnsi"/>
          <w:b/>
          <w:bCs/>
          <w:sz w:val="28"/>
          <w:szCs w:val="28"/>
        </w:rPr>
        <w:t>valuation</w:t>
      </w:r>
    </w:p>
    <w:bookmarkEnd w:id="3"/>
    <w:p w14:paraId="3E609F40" w14:textId="1BCA306C" w:rsidR="005E4C00" w:rsidRPr="00B67D0B" w:rsidRDefault="005E4C00" w:rsidP="0081789E">
      <w:pPr>
        <w:spacing w:after="0"/>
        <w:rPr>
          <w:rFonts w:cstheme="minorHAnsi"/>
          <w:sz w:val="24"/>
          <w:szCs w:val="24"/>
        </w:rPr>
      </w:pPr>
    </w:p>
    <w:p w14:paraId="19239A55" w14:textId="77777777" w:rsidR="00B00878" w:rsidRPr="00B67D0B" w:rsidRDefault="00B00878" w:rsidP="00B00878">
      <w:pPr>
        <w:spacing w:after="0"/>
        <w:rPr>
          <w:rFonts w:cstheme="minorHAnsi"/>
          <w:sz w:val="24"/>
          <w:szCs w:val="24"/>
        </w:rPr>
      </w:pPr>
    </w:p>
    <w:p w14:paraId="36B04E5D" w14:textId="315EBB7D" w:rsidR="005E4C00" w:rsidRPr="00B67D0B" w:rsidRDefault="00B00878" w:rsidP="00B00878">
      <w:pPr>
        <w:spacing w:after="0"/>
        <w:rPr>
          <w:rFonts w:cstheme="minorHAnsi"/>
          <w:sz w:val="24"/>
          <w:szCs w:val="24"/>
        </w:rPr>
      </w:pPr>
      <w:r w:rsidRPr="00B67D0B">
        <w:rPr>
          <w:rFonts w:cstheme="minorHAnsi"/>
          <w:sz w:val="24"/>
          <w:szCs w:val="24"/>
        </w:rPr>
        <w:t xml:space="preserve">The effectiveness of this Procedure is reported upon monthly with the key performance indicators overseen by the Head of Service. The effectiveness of this procedure will be reviewed at 12 monthly intervals to ensure best practice is always delivered. </w:t>
      </w:r>
    </w:p>
    <w:p w14:paraId="1A4B68E7" w14:textId="5BA8FF59" w:rsidR="00B00878" w:rsidRPr="00B67D0B" w:rsidRDefault="00B00878" w:rsidP="00B00878">
      <w:pPr>
        <w:spacing w:after="0"/>
        <w:rPr>
          <w:rFonts w:cstheme="minorHAnsi"/>
          <w:sz w:val="24"/>
          <w:szCs w:val="24"/>
        </w:rPr>
      </w:pPr>
    </w:p>
    <w:p w14:paraId="7D58E945" w14:textId="77777777" w:rsidR="00B00878" w:rsidRPr="00B67D0B" w:rsidRDefault="00B00878" w:rsidP="00B00878">
      <w:pPr>
        <w:spacing w:after="0"/>
        <w:rPr>
          <w:rFonts w:cstheme="minorHAnsi"/>
          <w:sz w:val="24"/>
          <w:szCs w:val="24"/>
        </w:rPr>
      </w:pPr>
    </w:p>
    <w:p w14:paraId="52850460" w14:textId="4E07DC5C" w:rsidR="00B00878" w:rsidRPr="003271A7" w:rsidRDefault="00F8255A" w:rsidP="00B00878">
      <w:pPr>
        <w:spacing w:after="0"/>
        <w:rPr>
          <w:rFonts w:cstheme="minorHAnsi"/>
          <w:b/>
          <w:bCs/>
          <w:sz w:val="28"/>
          <w:szCs w:val="28"/>
        </w:rPr>
      </w:pPr>
      <w:r w:rsidRPr="003271A7">
        <w:rPr>
          <w:rFonts w:cstheme="minorHAnsi"/>
          <w:b/>
          <w:bCs/>
          <w:sz w:val="28"/>
          <w:szCs w:val="28"/>
        </w:rPr>
        <w:t>7</w:t>
      </w:r>
      <w:r w:rsidR="00B00878" w:rsidRPr="003271A7">
        <w:rPr>
          <w:rFonts w:cstheme="minorHAnsi"/>
          <w:b/>
          <w:bCs/>
          <w:sz w:val="28"/>
          <w:szCs w:val="28"/>
        </w:rPr>
        <w:t xml:space="preserve">.0 Legislation and </w:t>
      </w:r>
      <w:r w:rsidR="00757276" w:rsidRPr="003271A7">
        <w:rPr>
          <w:rFonts w:cstheme="minorHAnsi"/>
          <w:b/>
          <w:bCs/>
          <w:sz w:val="28"/>
          <w:szCs w:val="28"/>
        </w:rPr>
        <w:t>G</w:t>
      </w:r>
      <w:r w:rsidR="00B00878" w:rsidRPr="003271A7">
        <w:rPr>
          <w:rFonts w:cstheme="minorHAnsi"/>
          <w:b/>
          <w:bCs/>
          <w:sz w:val="28"/>
          <w:szCs w:val="28"/>
        </w:rPr>
        <w:t>uidance</w:t>
      </w:r>
    </w:p>
    <w:p w14:paraId="7C5D4EAD" w14:textId="22A0338B" w:rsidR="00B00878" w:rsidRPr="00B67D0B" w:rsidRDefault="00B00878" w:rsidP="00B00878">
      <w:pPr>
        <w:spacing w:after="0"/>
        <w:rPr>
          <w:rFonts w:cstheme="minorHAnsi"/>
          <w:b/>
          <w:bCs/>
          <w:sz w:val="24"/>
          <w:szCs w:val="24"/>
        </w:rPr>
      </w:pPr>
    </w:p>
    <w:p w14:paraId="3B665DF3" w14:textId="77777777" w:rsidR="00B00878" w:rsidRPr="00B67D0B" w:rsidRDefault="00B00878" w:rsidP="00B00878">
      <w:pPr>
        <w:numPr>
          <w:ilvl w:val="0"/>
          <w:numId w:val="10"/>
        </w:numPr>
        <w:spacing w:after="0"/>
        <w:rPr>
          <w:rFonts w:cstheme="minorHAnsi"/>
          <w:sz w:val="24"/>
          <w:szCs w:val="24"/>
        </w:rPr>
      </w:pPr>
      <w:r w:rsidRPr="00B67D0B">
        <w:rPr>
          <w:rFonts w:cstheme="minorHAnsi"/>
          <w:sz w:val="24"/>
          <w:szCs w:val="24"/>
        </w:rPr>
        <w:t>Housing Act 1985</w:t>
      </w:r>
    </w:p>
    <w:p w14:paraId="612F138F" w14:textId="77777777" w:rsidR="00B00878" w:rsidRPr="00B67D0B" w:rsidRDefault="00B00878" w:rsidP="00B00878">
      <w:pPr>
        <w:numPr>
          <w:ilvl w:val="0"/>
          <w:numId w:val="10"/>
        </w:numPr>
        <w:spacing w:after="0"/>
        <w:rPr>
          <w:rFonts w:cstheme="minorHAnsi"/>
          <w:sz w:val="24"/>
          <w:szCs w:val="24"/>
        </w:rPr>
      </w:pPr>
      <w:r w:rsidRPr="00B67D0B">
        <w:rPr>
          <w:rFonts w:cstheme="minorHAnsi"/>
          <w:sz w:val="24"/>
          <w:szCs w:val="24"/>
        </w:rPr>
        <w:t>Protection from Eviction Act 1977</w:t>
      </w:r>
    </w:p>
    <w:p w14:paraId="660E3E72" w14:textId="77777777" w:rsidR="00B00878" w:rsidRPr="00B67D0B" w:rsidRDefault="00B00878" w:rsidP="00B00878">
      <w:pPr>
        <w:numPr>
          <w:ilvl w:val="0"/>
          <w:numId w:val="10"/>
        </w:numPr>
        <w:spacing w:after="0"/>
        <w:rPr>
          <w:rFonts w:cstheme="minorHAnsi"/>
          <w:sz w:val="24"/>
          <w:szCs w:val="24"/>
        </w:rPr>
      </w:pPr>
      <w:r w:rsidRPr="00B67D0B">
        <w:rPr>
          <w:rFonts w:cstheme="minorHAnsi"/>
          <w:sz w:val="24"/>
          <w:szCs w:val="24"/>
        </w:rPr>
        <w:t>Landlord and Tenant Act 1987</w:t>
      </w:r>
    </w:p>
    <w:p w14:paraId="4B7E9206" w14:textId="77777777" w:rsidR="00B00878" w:rsidRPr="00B67D0B" w:rsidRDefault="00B00878" w:rsidP="00B00878">
      <w:pPr>
        <w:numPr>
          <w:ilvl w:val="0"/>
          <w:numId w:val="10"/>
        </w:numPr>
        <w:spacing w:after="0"/>
        <w:rPr>
          <w:rFonts w:cstheme="minorHAnsi"/>
          <w:sz w:val="24"/>
          <w:szCs w:val="24"/>
        </w:rPr>
      </w:pPr>
      <w:r w:rsidRPr="00B67D0B">
        <w:rPr>
          <w:rFonts w:cstheme="minorHAnsi"/>
          <w:sz w:val="24"/>
          <w:szCs w:val="24"/>
        </w:rPr>
        <w:t>Civil Procedure Rules 1998</w:t>
      </w:r>
    </w:p>
    <w:p w14:paraId="51B4DEA0" w14:textId="77777777" w:rsidR="00B00878" w:rsidRPr="00B67D0B" w:rsidRDefault="00B00878" w:rsidP="00B00878">
      <w:pPr>
        <w:numPr>
          <w:ilvl w:val="0"/>
          <w:numId w:val="10"/>
        </w:numPr>
        <w:spacing w:after="0"/>
        <w:rPr>
          <w:rFonts w:cstheme="minorHAnsi"/>
          <w:sz w:val="24"/>
          <w:szCs w:val="24"/>
        </w:rPr>
      </w:pPr>
      <w:r w:rsidRPr="00B67D0B">
        <w:rPr>
          <w:rFonts w:cstheme="minorHAnsi"/>
          <w:sz w:val="24"/>
          <w:szCs w:val="24"/>
        </w:rPr>
        <w:t>County Court Act 1984</w:t>
      </w:r>
    </w:p>
    <w:p w14:paraId="22CD6FED" w14:textId="77777777" w:rsidR="00B00878" w:rsidRPr="00B67D0B" w:rsidRDefault="00B00878" w:rsidP="00B00878">
      <w:pPr>
        <w:numPr>
          <w:ilvl w:val="0"/>
          <w:numId w:val="10"/>
        </w:numPr>
        <w:spacing w:after="0"/>
        <w:rPr>
          <w:rFonts w:cstheme="minorHAnsi"/>
          <w:sz w:val="24"/>
          <w:szCs w:val="24"/>
        </w:rPr>
      </w:pPr>
      <w:r w:rsidRPr="00B67D0B">
        <w:rPr>
          <w:rFonts w:cstheme="minorHAnsi"/>
          <w:sz w:val="24"/>
          <w:szCs w:val="24"/>
        </w:rPr>
        <w:t>Human Rights Act 1998</w:t>
      </w:r>
    </w:p>
    <w:p w14:paraId="3E4B9BBB" w14:textId="77777777" w:rsidR="00B00878" w:rsidRPr="00B67D0B" w:rsidRDefault="00B00878" w:rsidP="00B00878">
      <w:pPr>
        <w:numPr>
          <w:ilvl w:val="0"/>
          <w:numId w:val="10"/>
        </w:numPr>
        <w:spacing w:after="0"/>
        <w:rPr>
          <w:rFonts w:cstheme="minorHAnsi"/>
          <w:sz w:val="24"/>
          <w:szCs w:val="24"/>
        </w:rPr>
      </w:pPr>
      <w:r w:rsidRPr="00B67D0B">
        <w:rPr>
          <w:rFonts w:cstheme="minorHAnsi"/>
          <w:sz w:val="24"/>
          <w:szCs w:val="24"/>
        </w:rPr>
        <w:t>Equalities Act 2010</w:t>
      </w:r>
    </w:p>
    <w:p w14:paraId="75A23D75" w14:textId="77777777" w:rsidR="00B00878" w:rsidRPr="00B67D0B" w:rsidRDefault="00B00878" w:rsidP="00B00878">
      <w:pPr>
        <w:numPr>
          <w:ilvl w:val="0"/>
          <w:numId w:val="10"/>
        </w:numPr>
        <w:spacing w:after="0"/>
        <w:rPr>
          <w:rFonts w:cstheme="minorHAnsi"/>
          <w:sz w:val="24"/>
          <w:szCs w:val="24"/>
        </w:rPr>
      </w:pPr>
      <w:r w:rsidRPr="00B67D0B">
        <w:rPr>
          <w:rFonts w:cstheme="minorHAnsi"/>
          <w:sz w:val="24"/>
          <w:szCs w:val="24"/>
        </w:rPr>
        <w:lastRenderedPageBreak/>
        <w:t>The Limitation Act 1980</w:t>
      </w:r>
    </w:p>
    <w:p w14:paraId="6C1C9A40" w14:textId="77777777" w:rsidR="00B00878" w:rsidRPr="00B67D0B" w:rsidRDefault="00B00878" w:rsidP="00B00878">
      <w:pPr>
        <w:numPr>
          <w:ilvl w:val="0"/>
          <w:numId w:val="10"/>
        </w:numPr>
        <w:spacing w:after="0"/>
        <w:rPr>
          <w:rFonts w:cstheme="minorHAnsi"/>
          <w:sz w:val="24"/>
          <w:szCs w:val="24"/>
        </w:rPr>
      </w:pPr>
      <w:r w:rsidRPr="00B67D0B">
        <w:rPr>
          <w:rFonts w:cstheme="minorHAnsi"/>
          <w:sz w:val="24"/>
          <w:szCs w:val="24"/>
        </w:rPr>
        <w:t>General Data Protection Regulation 2016</w:t>
      </w:r>
    </w:p>
    <w:p w14:paraId="2056870F" w14:textId="77777777" w:rsidR="00B00878" w:rsidRPr="00B67D0B" w:rsidRDefault="00B00878" w:rsidP="00B00878">
      <w:pPr>
        <w:numPr>
          <w:ilvl w:val="0"/>
          <w:numId w:val="10"/>
        </w:numPr>
        <w:spacing w:after="0"/>
        <w:rPr>
          <w:rFonts w:cstheme="minorHAnsi"/>
          <w:sz w:val="24"/>
          <w:szCs w:val="24"/>
        </w:rPr>
      </w:pPr>
      <w:r w:rsidRPr="00B67D0B">
        <w:rPr>
          <w:rFonts w:cstheme="minorHAnsi"/>
          <w:sz w:val="24"/>
          <w:szCs w:val="24"/>
        </w:rPr>
        <w:t xml:space="preserve">Any additional supplementary Legislation and guidance </w:t>
      </w:r>
    </w:p>
    <w:p w14:paraId="76E61629" w14:textId="77777777" w:rsidR="00B00878" w:rsidRPr="00B67D0B" w:rsidRDefault="00B00878" w:rsidP="00B00878">
      <w:pPr>
        <w:spacing w:after="0"/>
        <w:rPr>
          <w:rFonts w:cstheme="minorHAnsi"/>
          <w:b/>
          <w:bCs/>
          <w:sz w:val="24"/>
          <w:szCs w:val="24"/>
        </w:rPr>
      </w:pPr>
    </w:p>
    <w:p w14:paraId="6D1DA908" w14:textId="25EA76D8" w:rsidR="00B00878" w:rsidRPr="00B67D0B" w:rsidRDefault="00B00878" w:rsidP="00B00878">
      <w:pPr>
        <w:spacing w:after="0"/>
        <w:rPr>
          <w:rFonts w:cstheme="minorHAnsi"/>
          <w:sz w:val="24"/>
          <w:szCs w:val="24"/>
        </w:rPr>
      </w:pPr>
    </w:p>
    <w:p w14:paraId="72D862A1" w14:textId="1DA7ADDA" w:rsidR="00757276" w:rsidRPr="003271A7" w:rsidRDefault="00F8255A" w:rsidP="00757276">
      <w:pPr>
        <w:spacing w:after="0"/>
        <w:rPr>
          <w:rFonts w:cstheme="minorHAnsi"/>
          <w:b/>
          <w:bCs/>
          <w:sz w:val="28"/>
          <w:szCs w:val="28"/>
        </w:rPr>
      </w:pPr>
      <w:r w:rsidRPr="003271A7">
        <w:rPr>
          <w:rFonts w:cstheme="minorHAnsi"/>
          <w:b/>
          <w:bCs/>
          <w:sz w:val="28"/>
          <w:szCs w:val="28"/>
        </w:rPr>
        <w:t>8</w:t>
      </w:r>
      <w:r w:rsidR="00757276" w:rsidRPr="003271A7">
        <w:rPr>
          <w:rFonts w:cstheme="minorHAnsi"/>
          <w:b/>
          <w:bCs/>
          <w:sz w:val="28"/>
          <w:szCs w:val="28"/>
        </w:rPr>
        <w:t>.0 Policy Control Statement</w:t>
      </w:r>
    </w:p>
    <w:p w14:paraId="2EDDF557" w14:textId="77777777" w:rsidR="00B00878" w:rsidRPr="00B67D0B" w:rsidRDefault="00B00878" w:rsidP="00B00878">
      <w:pPr>
        <w:spacing w:after="0"/>
        <w:rPr>
          <w:rFonts w:cstheme="minorHAnsi"/>
          <w:sz w:val="24"/>
          <w:szCs w:val="24"/>
        </w:rPr>
      </w:pPr>
    </w:p>
    <w:p w14:paraId="6FAB178C" w14:textId="77777777" w:rsidR="00737820" w:rsidRPr="00737820" w:rsidRDefault="00737820" w:rsidP="00737820">
      <w:pPr>
        <w:spacing w:after="160" w:line="259" w:lineRule="auto"/>
        <w:rPr>
          <w:rFonts w:eastAsia="Calibri" w:cstheme="minorHAnsi"/>
          <w:sz w:val="24"/>
          <w:szCs w:val="24"/>
        </w:rPr>
      </w:pPr>
      <w:r w:rsidRPr="00737820">
        <w:rPr>
          <w:rFonts w:eastAsia="Calibri" w:cstheme="minorHAnsi"/>
          <w:sz w:val="24"/>
          <w:szCs w:val="24"/>
        </w:rPr>
        <w:t xml:space="preserve">The Head of Service for Business and Commercial Services is responsible for ensuring adoption of, and adherence to this framework and its associated procedures. </w:t>
      </w:r>
    </w:p>
    <w:p w14:paraId="11B3467B" w14:textId="2ED622A1" w:rsidR="00737820" w:rsidRPr="00737820" w:rsidRDefault="00737820" w:rsidP="00737820">
      <w:pPr>
        <w:spacing w:after="160" w:line="259" w:lineRule="auto"/>
        <w:rPr>
          <w:rFonts w:eastAsia="Calibri" w:cstheme="minorHAnsi"/>
          <w:sz w:val="24"/>
          <w:szCs w:val="24"/>
        </w:rPr>
      </w:pPr>
      <w:r w:rsidRPr="00737820">
        <w:rPr>
          <w:rFonts w:eastAsia="Calibri" w:cstheme="minorHAnsi"/>
          <w:sz w:val="24"/>
          <w:szCs w:val="24"/>
        </w:rPr>
        <w:t xml:space="preserve">The Financial Inclusion Team Leader is responsible for </w:t>
      </w:r>
      <w:proofErr w:type="gramStart"/>
      <w:r w:rsidRPr="00737820">
        <w:rPr>
          <w:rFonts w:eastAsia="Calibri" w:cstheme="minorHAnsi"/>
          <w:sz w:val="24"/>
          <w:szCs w:val="24"/>
        </w:rPr>
        <w:t>day to day</w:t>
      </w:r>
      <w:proofErr w:type="gramEnd"/>
      <w:r w:rsidRPr="00737820">
        <w:rPr>
          <w:rFonts w:eastAsia="Calibri" w:cstheme="minorHAnsi"/>
          <w:sz w:val="24"/>
          <w:szCs w:val="24"/>
        </w:rPr>
        <w:t xml:space="preserve"> operational management of the team. </w:t>
      </w:r>
    </w:p>
    <w:p w14:paraId="25A39076" w14:textId="5CFE1F43" w:rsidR="00737820" w:rsidRPr="00737820" w:rsidRDefault="00737820" w:rsidP="00737820">
      <w:pPr>
        <w:spacing w:after="160" w:line="259" w:lineRule="auto"/>
        <w:rPr>
          <w:rFonts w:eastAsia="Calibri" w:cstheme="minorHAnsi"/>
          <w:sz w:val="24"/>
          <w:szCs w:val="24"/>
        </w:rPr>
      </w:pPr>
      <w:r w:rsidRPr="00737820">
        <w:rPr>
          <w:rFonts w:eastAsia="Calibri" w:cstheme="minorHAnsi"/>
          <w:sz w:val="24"/>
          <w:szCs w:val="24"/>
        </w:rPr>
        <w:t xml:space="preserve">The Financial Inclusion Team Leader is required to develop, </w:t>
      </w:r>
      <w:r w:rsidR="002D7EA9" w:rsidRPr="00737820">
        <w:rPr>
          <w:rFonts w:eastAsia="Calibri" w:cstheme="minorHAnsi"/>
          <w:sz w:val="24"/>
          <w:szCs w:val="24"/>
        </w:rPr>
        <w:t>implement,</w:t>
      </w:r>
      <w:r w:rsidRPr="00737820">
        <w:rPr>
          <w:rFonts w:eastAsia="Calibri" w:cstheme="minorHAnsi"/>
          <w:sz w:val="24"/>
          <w:szCs w:val="24"/>
        </w:rPr>
        <w:t xml:space="preserve"> and maintain relevant guidance and procedures for employees and managers. </w:t>
      </w:r>
    </w:p>
    <w:p w14:paraId="0EE9C60D" w14:textId="77777777" w:rsidR="00737820" w:rsidRPr="00737820" w:rsidRDefault="00737820" w:rsidP="00737820">
      <w:pPr>
        <w:spacing w:after="160" w:line="259" w:lineRule="auto"/>
        <w:rPr>
          <w:rFonts w:eastAsia="Calibri" w:cstheme="minorHAnsi"/>
          <w:sz w:val="24"/>
          <w:szCs w:val="24"/>
        </w:rPr>
      </w:pPr>
      <w:r w:rsidRPr="00737820">
        <w:rPr>
          <w:rFonts w:eastAsia="Calibri" w:cstheme="minorHAnsi"/>
          <w:sz w:val="24"/>
          <w:szCs w:val="24"/>
        </w:rPr>
        <w:t>All Income Pre-Tenancy staff are responsible for the operational aspect of the Pre-Tenancy service and will ensure there is compliance with relevant legislation and due regard for best practice.</w:t>
      </w:r>
    </w:p>
    <w:p w14:paraId="30478AD4" w14:textId="77777777" w:rsidR="00757276" w:rsidRPr="00B67D0B" w:rsidRDefault="00757276" w:rsidP="00757276">
      <w:pPr>
        <w:tabs>
          <w:tab w:val="left" w:pos="2993"/>
          <w:tab w:val="right" w:pos="10735"/>
        </w:tabs>
        <w:spacing w:after="0" w:line="240" w:lineRule="auto"/>
        <w:ind w:right="-331"/>
        <w:jc w:val="both"/>
        <w:rPr>
          <w:rFonts w:eastAsia="Times New Roman" w:cstheme="minorHAnsi"/>
          <w:color w:val="000080"/>
          <w:sz w:val="24"/>
          <w:szCs w:val="24"/>
          <w:lang w:eastAsia="en-GB"/>
        </w:rPr>
      </w:pPr>
    </w:p>
    <w:tbl>
      <w:tblPr>
        <w:tblStyle w:val="TableGrid"/>
        <w:tblW w:w="0" w:type="auto"/>
        <w:tblLook w:val="04A0" w:firstRow="1" w:lastRow="0" w:firstColumn="1" w:lastColumn="0" w:noHBand="0" w:noVBand="1"/>
      </w:tblPr>
      <w:tblGrid>
        <w:gridCol w:w="3562"/>
        <w:gridCol w:w="5454"/>
      </w:tblGrid>
      <w:tr w:rsidR="00757276" w:rsidRPr="00B67D0B" w14:paraId="6DA7A46B" w14:textId="77777777" w:rsidTr="00D52FF7">
        <w:tc>
          <w:tcPr>
            <w:tcW w:w="3562" w:type="dxa"/>
          </w:tcPr>
          <w:p w14:paraId="43A5A668" w14:textId="77777777" w:rsidR="00757276" w:rsidRPr="00B67D0B" w:rsidRDefault="00757276" w:rsidP="00D52FF7">
            <w:pPr>
              <w:tabs>
                <w:tab w:val="left" w:pos="2993"/>
                <w:tab w:val="right" w:pos="10735"/>
              </w:tabs>
              <w:ind w:right="-331"/>
              <w:jc w:val="both"/>
              <w:rPr>
                <w:rFonts w:eastAsia="Times New Roman" w:cstheme="minorHAnsi"/>
                <w:sz w:val="24"/>
                <w:szCs w:val="24"/>
                <w:lang w:eastAsia="en-GB"/>
              </w:rPr>
            </w:pPr>
            <w:r w:rsidRPr="00B67D0B">
              <w:rPr>
                <w:rFonts w:eastAsia="Times New Roman" w:cstheme="minorHAnsi"/>
                <w:sz w:val="24"/>
                <w:szCs w:val="24"/>
                <w:lang w:eastAsia="en-GB"/>
              </w:rPr>
              <w:t>Author &amp; Owner:</w:t>
            </w:r>
          </w:p>
        </w:tc>
        <w:tc>
          <w:tcPr>
            <w:tcW w:w="5454" w:type="dxa"/>
          </w:tcPr>
          <w:p w14:paraId="44EDB0E2" w14:textId="013E52A5" w:rsidR="00757276" w:rsidRPr="00B67D0B" w:rsidRDefault="001D7D70" w:rsidP="00D52FF7">
            <w:pPr>
              <w:tabs>
                <w:tab w:val="left" w:pos="2993"/>
                <w:tab w:val="right" w:pos="10735"/>
              </w:tabs>
              <w:ind w:right="-331"/>
              <w:jc w:val="both"/>
              <w:rPr>
                <w:rFonts w:eastAsia="Times New Roman" w:cstheme="minorHAnsi"/>
                <w:sz w:val="24"/>
                <w:szCs w:val="24"/>
                <w:lang w:eastAsia="en-GB"/>
              </w:rPr>
            </w:pPr>
            <w:r>
              <w:rPr>
                <w:rFonts w:eastAsia="Times New Roman" w:cstheme="minorHAnsi"/>
                <w:sz w:val="24"/>
                <w:szCs w:val="24"/>
                <w:lang w:eastAsia="en-GB"/>
              </w:rPr>
              <w:t>Jackie Cobb/Paul Elliot</w:t>
            </w:r>
            <w:r w:rsidR="00F0501C">
              <w:rPr>
                <w:rFonts w:eastAsia="Times New Roman" w:cstheme="minorHAnsi"/>
                <w:sz w:val="24"/>
                <w:szCs w:val="24"/>
                <w:lang w:eastAsia="en-GB"/>
              </w:rPr>
              <w:t>t</w:t>
            </w:r>
          </w:p>
        </w:tc>
      </w:tr>
      <w:tr w:rsidR="00757276" w:rsidRPr="00B67D0B" w14:paraId="124AF1A7" w14:textId="77777777" w:rsidTr="00D52FF7">
        <w:tc>
          <w:tcPr>
            <w:tcW w:w="3562" w:type="dxa"/>
          </w:tcPr>
          <w:p w14:paraId="535B804D" w14:textId="77777777" w:rsidR="00757276" w:rsidRPr="00B67D0B" w:rsidRDefault="00757276" w:rsidP="00D52FF7">
            <w:pPr>
              <w:tabs>
                <w:tab w:val="left" w:pos="2993"/>
                <w:tab w:val="right" w:pos="10735"/>
              </w:tabs>
              <w:ind w:right="-331"/>
              <w:jc w:val="both"/>
              <w:rPr>
                <w:rFonts w:eastAsia="Times New Roman" w:cstheme="minorHAnsi"/>
                <w:sz w:val="24"/>
                <w:szCs w:val="24"/>
                <w:lang w:eastAsia="en-GB"/>
              </w:rPr>
            </w:pPr>
            <w:r w:rsidRPr="00B67D0B">
              <w:rPr>
                <w:rFonts w:eastAsia="Times New Roman" w:cstheme="minorHAnsi"/>
                <w:sz w:val="24"/>
                <w:szCs w:val="24"/>
                <w:lang w:eastAsia="en-GB"/>
              </w:rPr>
              <w:t>Approving manager:</w:t>
            </w:r>
          </w:p>
        </w:tc>
        <w:tc>
          <w:tcPr>
            <w:tcW w:w="5454" w:type="dxa"/>
          </w:tcPr>
          <w:p w14:paraId="7855E54F" w14:textId="77777777" w:rsidR="00757276" w:rsidRPr="00B67D0B" w:rsidRDefault="00757276" w:rsidP="00D52FF7">
            <w:pPr>
              <w:tabs>
                <w:tab w:val="left" w:pos="2993"/>
                <w:tab w:val="right" w:pos="10735"/>
              </w:tabs>
              <w:ind w:right="-331"/>
              <w:jc w:val="both"/>
              <w:rPr>
                <w:rFonts w:eastAsia="Times New Roman" w:cstheme="minorHAnsi"/>
                <w:sz w:val="24"/>
                <w:szCs w:val="24"/>
                <w:lang w:eastAsia="en-GB"/>
              </w:rPr>
            </w:pPr>
            <w:r w:rsidRPr="00B67D0B">
              <w:rPr>
                <w:rFonts w:eastAsia="Times New Roman" w:cstheme="minorHAnsi"/>
                <w:sz w:val="24"/>
                <w:szCs w:val="24"/>
                <w:lang w:eastAsia="en-GB"/>
              </w:rPr>
              <w:t>James Clark</w:t>
            </w:r>
          </w:p>
        </w:tc>
      </w:tr>
      <w:tr w:rsidR="00757276" w:rsidRPr="00B67D0B" w14:paraId="3039A2AC" w14:textId="77777777" w:rsidTr="00D52FF7">
        <w:tc>
          <w:tcPr>
            <w:tcW w:w="3562" w:type="dxa"/>
          </w:tcPr>
          <w:p w14:paraId="60254126" w14:textId="77777777" w:rsidR="00757276" w:rsidRPr="00B67D0B" w:rsidRDefault="00757276" w:rsidP="00D52FF7">
            <w:pPr>
              <w:tabs>
                <w:tab w:val="left" w:pos="2993"/>
                <w:tab w:val="right" w:pos="10735"/>
              </w:tabs>
              <w:ind w:right="-331"/>
              <w:jc w:val="both"/>
              <w:rPr>
                <w:rFonts w:eastAsia="Times New Roman" w:cstheme="minorHAnsi"/>
                <w:sz w:val="24"/>
                <w:szCs w:val="24"/>
                <w:lang w:eastAsia="en-GB"/>
              </w:rPr>
            </w:pPr>
            <w:r w:rsidRPr="00B67D0B">
              <w:rPr>
                <w:rFonts w:eastAsia="Times New Roman" w:cstheme="minorHAnsi"/>
                <w:sz w:val="24"/>
                <w:szCs w:val="24"/>
                <w:lang w:eastAsia="en-GB"/>
              </w:rPr>
              <w:t>Approval meeting:</w:t>
            </w:r>
          </w:p>
        </w:tc>
        <w:tc>
          <w:tcPr>
            <w:tcW w:w="5454" w:type="dxa"/>
          </w:tcPr>
          <w:p w14:paraId="10413276" w14:textId="77777777" w:rsidR="00757276" w:rsidRPr="00B67D0B" w:rsidRDefault="00757276" w:rsidP="00D52FF7">
            <w:pPr>
              <w:tabs>
                <w:tab w:val="left" w:pos="2993"/>
                <w:tab w:val="right" w:pos="10735"/>
              </w:tabs>
              <w:ind w:right="-331"/>
              <w:jc w:val="both"/>
              <w:rPr>
                <w:rFonts w:eastAsia="Times New Roman" w:cstheme="minorHAnsi"/>
                <w:sz w:val="24"/>
                <w:szCs w:val="24"/>
                <w:lang w:eastAsia="en-GB"/>
              </w:rPr>
            </w:pPr>
          </w:p>
        </w:tc>
      </w:tr>
      <w:tr w:rsidR="00757276" w:rsidRPr="00B67D0B" w14:paraId="604F15BE" w14:textId="77777777" w:rsidTr="00D52FF7">
        <w:tc>
          <w:tcPr>
            <w:tcW w:w="3562" w:type="dxa"/>
          </w:tcPr>
          <w:p w14:paraId="2E22771A" w14:textId="77777777" w:rsidR="00757276" w:rsidRPr="00B67D0B" w:rsidRDefault="00757276" w:rsidP="00D52FF7">
            <w:pPr>
              <w:tabs>
                <w:tab w:val="left" w:pos="2993"/>
                <w:tab w:val="right" w:pos="10735"/>
              </w:tabs>
              <w:ind w:right="-331"/>
              <w:jc w:val="both"/>
              <w:rPr>
                <w:rFonts w:eastAsia="Times New Roman" w:cstheme="minorHAnsi"/>
                <w:sz w:val="24"/>
                <w:szCs w:val="24"/>
                <w:lang w:eastAsia="en-GB"/>
              </w:rPr>
            </w:pPr>
            <w:r w:rsidRPr="00B67D0B">
              <w:rPr>
                <w:rFonts w:eastAsia="Times New Roman" w:cstheme="minorHAnsi"/>
                <w:sz w:val="24"/>
                <w:szCs w:val="24"/>
                <w:lang w:eastAsia="en-GB"/>
              </w:rPr>
              <w:t>Approval date:</w:t>
            </w:r>
          </w:p>
        </w:tc>
        <w:tc>
          <w:tcPr>
            <w:tcW w:w="5454" w:type="dxa"/>
          </w:tcPr>
          <w:p w14:paraId="7B3FF962" w14:textId="77777777" w:rsidR="00757276" w:rsidRPr="00B67D0B" w:rsidRDefault="00757276" w:rsidP="00D52FF7">
            <w:pPr>
              <w:tabs>
                <w:tab w:val="left" w:pos="2993"/>
                <w:tab w:val="right" w:pos="10735"/>
              </w:tabs>
              <w:ind w:right="-331"/>
              <w:jc w:val="both"/>
              <w:rPr>
                <w:rFonts w:eastAsia="Times New Roman" w:cstheme="minorHAnsi"/>
                <w:sz w:val="24"/>
                <w:szCs w:val="24"/>
                <w:lang w:eastAsia="en-GB"/>
              </w:rPr>
            </w:pPr>
          </w:p>
        </w:tc>
      </w:tr>
      <w:tr w:rsidR="00757276" w:rsidRPr="00B67D0B" w14:paraId="4FE5BEA6" w14:textId="77777777" w:rsidTr="00D52FF7">
        <w:tc>
          <w:tcPr>
            <w:tcW w:w="3562" w:type="dxa"/>
          </w:tcPr>
          <w:p w14:paraId="5501FEA7" w14:textId="77777777" w:rsidR="00757276" w:rsidRPr="00B67D0B" w:rsidRDefault="00757276" w:rsidP="00D52FF7">
            <w:pPr>
              <w:tabs>
                <w:tab w:val="left" w:pos="2993"/>
                <w:tab w:val="right" w:pos="10735"/>
              </w:tabs>
              <w:ind w:right="-331"/>
              <w:jc w:val="both"/>
              <w:rPr>
                <w:rFonts w:eastAsia="Times New Roman" w:cstheme="minorHAnsi"/>
                <w:sz w:val="24"/>
                <w:szCs w:val="24"/>
                <w:lang w:eastAsia="en-GB"/>
              </w:rPr>
            </w:pPr>
            <w:r w:rsidRPr="00B67D0B">
              <w:rPr>
                <w:rFonts w:eastAsia="Times New Roman" w:cstheme="minorHAnsi"/>
                <w:sz w:val="24"/>
                <w:szCs w:val="24"/>
                <w:lang w:eastAsia="en-GB"/>
              </w:rPr>
              <w:t>Date of next review:</w:t>
            </w:r>
          </w:p>
        </w:tc>
        <w:tc>
          <w:tcPr>
            <w:tcW w:w="5454" w:type="dxa"/>
          </w:tcPr>
          <w:p w14:paraId="48932455" w14:textId="77777777" w:rsidR="00757276" w:rsidRPr="00B67D0B" w:rsidRDefault="00757276" w:rsidP="00D52FF7">
            <w:pPr>
              <w:tabs>
                <w:tab w:val="left" w:pos="2993"/>
                <w:tab w:val="right" w:pos="10735"/>
              </w:tabs>
              <w:ind w:right="-331"/>
              <w:jc w:val="both"/>
              <w:rPr>
                <w:rFonts w:eastAsia="Times New Roman" w:cstheme="minorHAnsi"/>
                <w:sz w:val="24"/>
                <w:szCs w:val="24"/>
                <w:lang w:eastAsia="en-GB"/>
              </w:rPr>
            </w:pPr>
          </w:p>
        </w:tc>
      </w:tr>
      <w:tr w:rsidR="00757276" w:rsidRPr="00B67D0B" w14:paraId="18A47F12" w14:textId="77777777" w:rsidTr="00D52FF7">
        <w:tc>
          <w:tcPr>
            <w:tcW w:w="3562" w:type="dxa"/>
          </w:tcPr>
          <w:p w14:paraId="2CA37643" w14:textId="5ED3F6AC" w:rsidR="00757276" w:rsidRPr="00B67D0B" w:rsidRDefault="00757276" w:rsidP="00D52FF7">
            <w:pPr>
              <w:tabs>
                <w:tab w:val="left" w:pos="2993"/>
                <w:tab w:val="right" w:pos="10735"/>
              </w:tabs>
              <w:ind w:right="-331"/>
              <w:jc w:val="both"/>
              <w:rPr>
                <w:rFonts w:eastAsia="Times New Roman" w:cstheme="minorHAnsi"/>
                <w:sz w:val="24"/>
                <w:szCs w:val="24"/>
                <w:lang w:eastAsia="en-GB"/>
              </w:rPr>
            </w:pPr>
            <w:r w:rsidRPr="00B67D0B">
              <w:rPr>
                <w:rFonts w:eastAsia="Times New Roman" w:cstheme="minorHAnsi"/>
                <w:sz w:val="24"/>
                <w:szCs w:val="24"/>
                <w:lang w:eastAsia="en-GB"/>
              </w:rPr>
              <w:t>Officer/Date:</w:t>
            </w:r>
          </w:p>
        </w:tc>
        <w:tc>
          <w:tcPr>
            <w:tcW w:w="5454" w:type="dxa"/>
          </w:tcPr>
          <w:p w14:paraId="15FCA722" w14:textId="77777777" w:rsidR="00757276" w:rsidRPr="00B67D0B" w:rsidRDefault="00757276" w:rsidP="00D52FF7">
            <w:pPr>
              <w:tabs>
                <w:tab w:val="left" w:pos="2993"/>
                <w:tab w:val="right" w:pos="10735"/>
              </w:tabs>
              <w:ind w:right="-331"/>
              <w:jc w:val="both"/>
              <w:rPr>
                <w:rFonts w:eastAsia="Times New Roman" w:cstheme="minorHAnsi"/>
                <w:sz w:val="24"/>
                <w:szCs w:val="24"/>
                <w:lang w:eastAsia="en-GB"/>
              </w:rPr>
            </w:pPr>
            <w:r w:rsidRPr="00B67D0B">
              <w:rPr>
                <w:rFonts w:eastAsia="Times New Roman" w:cstheme="minorHAnsi"/>
                <w:sz w:val="24"/>
                <w:szCs w:val="24"/>
                <w:lang w:eastAsia="en-GB"/>
              </w:rPr>
              <w:t>Comments:</w:t>
            </w:r>
          </w:p>
        </w:tc>
      </w:tr>
    </w:tbl>
    <w:p w14:paraId="5BFB373F" w14:textId="33A0A3F2" w:rsidR="006E5716" w:rsidRDefault="006E5716" w:rsidP="00F53287">
      <w:pPr>
        <w:spacing w:after="0"/>
        <w:rPr>
          <w:rFonts w:cstheme="minorHAnsi"/>
          <w:sz w:val="24"/>
          <w:szCs w:val="24"/>
        </w:rPr>
      </w:pPr>
    </w:p>
    <w:p w14:paraId="34BE4E03" w14:textId="03C38D6E" w:rsidR="008036A0" w:rsidRDefault="008036A0" w:rsidP="00F53287">
      <w:pPr>
        <w:spacing w:after="0"/>
        <w:rPr>
          <w:rFonts w:cstheme="minorHAnsi"/>
          <w:sz w:val="24"/>
          <w:szCs w:val="24"/>
        </w:rPr>
      </w:pPr>
    </w:p>
    <w:p w14:paraId="00155B41" w14:textId="4E5A791F" w:rsidR="008036A0" w:rsidRDefault="008036A0" w:rsidP="00F53287">
      <w:pPr>
        <w:spacing w:after="0"/>
        <w:rPr>
          <w:rFonts w:cstheme="minorHAnsi"/>
          <w:sz w:val="24"/>
          <w:szCs w:val="24"/>
        </w:rPr>
      </w:pPr>
    </w:p>
    <w:p w14:paraId="7FE5700D" w14:textId="2008AFBD" w:rsidR="008036A0" w:rsidRDefault="008036A0" w:rsidP="00F53287">
      <w:pPr>
        <w:spacing w:after="0"/>
        <w:rPr>
          <w:rFonts w:cstheme="minorHAnsi"/>
          <w:sz w:val="24"/>
          <w:szCs w:val="24"/>
        </w:rPr>
      </w:pPr>
    </w:p>
    <w:p w14:paraId="084AB9CF" w14:textId="1CA34455" w:rsidR="008036A0" w:rsidRDefault="008036A0" w:rsidP="00F53287">
      <w:pPr>
        <w:spacing w:after="0"/>
        <w:rPr>
          <w:rFonts w:cstheme="minorHAnsi"/>
          <w:sz w:val="24"/>
          <w:szCs w:val="24"/>
        </w:rPr>
      </w:pPr>
    </w:p>
    <w:p w14:paraId="3E814254" w14:textId="7FDA54FF" w:rsidR="003271A7" w:rsidRDefault="003271A7" w:rsidP="00F53287">
      <w:pPr>
        <w:spacing w:after="0"/>
        <w:rPr>
          <w:rFonts w:cstheme="minorHAnsi"/>
          <w:sz w:val="24"/>
          <w:szCs w:val="24"/>
        </w:rPr>
      </w:pPr>
    </w:p>
    <w:p w14:paraId="75FBBB96" w14:textId="55585A8F" w:rsidR="003271A7" w:rsidRDefault="003271A7" w:rsidP="00F53287">
      <w:pPr>
        <w:spacing w:after="0"/>
        <w:rPr>
          <w:rFonts w:cstheme="minorHAnsi"/>
          <w:sz w:val="24"/>
          <w:szCs w:val="24"/>
        </w:rPr>
      </w:pPr>
    </w:p>
    <w:p w14:paraId="3996FD89" w14:textId="70894596" w:rsidR="003271A7" w:rsidRDefault="003271A7" w:rsidP="00F53287">
      <w:pPr>
        <w:spacing w:after="0"/>
        <w:rPr>
          <w:rFonts w:cstheme="minorHAnsi"/>
          <w:sz w:val="24"/>
          <w:szCs w:val="24"/>
        </w:rPr>
      </w:pPr>
    </w:p>
    <w:p w14:paraId="5D3F7D02" w14:textId="67AB96C2" w:rsidR="003271A7" w:rsidRDefault="003271A7" w:rsidP="00F53287">
      <w:pPr>
        <w:spacing w:after="0"/>
        <w:rPr>
          <w:rFonts w:cstheme="minorHAnsi"/>
          <w:sz w:val="24"/>
          <w:szCs w:val="24"/>
        </w:rPr>
      </w:pPr>
    </w:p>
    <w:p w14:paraId="3CC372EF" w14:textId="311D083A" w:rsidR="003271A7" w:rsidRDefault="003271A7" w:rsidP="00F53287">
      <w:pPr>
        <w:spacing w:after="0"/>
        <w:rPr>
          <w:rFonts w:cstheme="minorHAnsi"/>
          <w:sz w:val="24"/>
          <w:szCs w:val="24"/>
        </w:rPr>
      </w:pPr>
    </w:p>
    <w:p w14:paraId="41D164E6" w14:textId="19189E81" w:rsidR="003271A7" w:rsidRDefault="003271A7" w:rsidP="00F53287">
      <w:pPr>
        <w:spacing w:after="0"/>
        <w:rPr>
          <w:rFonts w:cstheme="minorHAnsi"/>
          <w:sz w:val="24"/>
          <w:szCs w:val="24"/>
        </w:rPr>
      </w:pPr>
    </w:p>
    <w:p w14:paraId="60857142" w14:textId="7A56EC3B" w:rsidR="003271A7" w:rsidRDefault="003271A7" w:rsidP="00F53287">
      <w:pPr>
        <w:spacing w:after="0"/>
        <w:rPr>
          <w:rFonts w:cstheme="minorHAnsi"/>
          <w:sz w:val="24"/>
          <w:szCs w:val="24"/>
        </w:rPr>
      </w:pPr>
    </w:p>
    <w:p w14:paraId="73B18BEA" w14:textId="7D519334" w:rsidR="003271A7" w:rsidRDefault="003271A7" w:rsidP="00F53287">
      <w:pPr>
        <w:spacing w:after="0"/>
        <w:rPr>
          <w:rFonts w:cstheme="minorHAnsi"/>
          <w:sz w:val="24"/>
          <w:szCs w:val="24"/>
        </w:rPr>
      </w:pPr>
    </w:p>
    <w:p w14:paraId="3D893431" w14:textId="53A410D8" w:rsidR="003271A7" w:rsidRDefault="003271A7" w:rsidP="00F53287">
      <w:pPr>
        <w:spacing w:after="0"/>
        <w:rPr>
          <w:rFonts w:cstheme="minorHAnsi"/>
          <w:sz w:val="24"/>
          <w:szCs w:val="24"/>
        </w:rPr>
      </w:pPr>
    </w:p>
    <w:p w14:paraId="58270E87" w14:textId="6D6525A2" w:rsidR="003271A7" w:rsidRDefault="003271A7" w:rsidP="00F53287">
      <w:pPr>
        <w:spacing w:after="0"/>
        <w:rPr>
          <w:rFonts w:cstheme="minorHAnsi"/>
          <w:sz w:val="24"/>
          <w:szCs w:val="24"/>
        </w:rPr>
      </w:pPr>
    </w:p>
    <w:p w14:paraId="5C61BAD3" w14:textId="77777777" w:rsidR="003271A7" w:rsidRDefault="003271A7" w:rsidP="00F53287">
      <w:pPr>
        <w:spacing w:after="0"/>
        <w:rPr>
          <w:rFonts w:cstheme="minorHAnsi"/>
          <w:sz w:val="24"/>
          <w:szCs w:val="24"/>
        </w:rPr>
      </w:pPr>
    </w:p>
    <w:p w14:paraId="2B7EF8AF" w14:textId="411729B1" w:rsidR="008036A0" w:rsidRDefault="008036A0" w:rsidP="00F53287">
      <w:pPr>
        <w:spacing w:after="0"/>
        <w:rPr>
          <w:rFonts w:cstheme="minorHAnsi"/>
          <w:sz w:val="24"/>
          <w:szCs w:val="24"/>
        </w:rPr>
      </w:pPr>
    </w:p>
    <w:p w14:paraId="30A73628" w14:textId="19D5619E" w:rsidR="008036A0" w:rsidRDefault="008036A0" w:rsidP="00F53287">
      <w:pPr>
        <w:spacing w:after="0"/>
        <w:rPr>
          <w:rFonts w:cstheme="minorHAnsi"/>
          <w:sz w:val="24"/>
          <w:szCs w:val="24"/>
        </w:rPr>
      </w:pPr>
    </w:p>
    <w:p w14:paraId="2A0EB002" w14:textId="10830CC1" w:rsidR="008036A0" w:rsidRDefault="008036A0" w:rsidP="00F53287">
      <w:pPr>
        <w:spacing w:after="0"/>
        <w:rPr>
          <w:rFonts w:cstheme="minorHAnsi"/>
          <w:sz w:val="24"/>
          <w:szCs w:val="24"/>
        </w:rPr>
      </w:pPr>
    </w:p>
    <w:p w14:paraId="7FFF97DE" w14:textId="4228D9F7" w:rsidR="008036A0" w:rsidRPr="003271A7" w:rsidRDefault="00DB5AC3" w:rsidP="00F53287">
      <w:pPr>
        <w:spacing w:after="0"/>
        <w:rPr>
          <w:rFonts w:cstheme="minorHAnsi"/>
          <w:b/>
          <w:bCs/>
          <w:sz w:val="28"/>
          <w:szCs w:val="28"/>
          <w:u w:val="single"/>
        </w:rPr>
      </w:pPr>
      <w:r w:rsidRPr="003271A7">
        <w:rPr>
          <w:rFonts w:cstheme="minorHAnsi"/>
          <w:b/>
          <w:bCs/>
          <w:sz w:val="28"/>
          <w:szCs w:val="28"/>
          <w:u w:val="single"/>
        </w:rPr>
        <w:t>Appendix 1</w:t>
      </w:r>
    </w:p>
    <w:p w14:paraId="3411A1CF" w14:textId="24144C2B" w:rsidR="008036A0" w:rsidRPr="00B67D0B" w:rsidRDefault="00DB5AC3" w:rsidP="00F53287">
      <w:pPr>
        <w:spacing w:after="0"/>
        <w:rPr>
          <w:rFonts w:cstheme="minorHAnsi"/>
          <w:sz w:val="24"/>
          <w:szCs w:val="24"/>
        </w:rPr>
      </w:pPr>
      <w:r>
        <w:object w:dxaOrig="10841" w:dyaOrig="15751" w14:anchorId="770945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25pt;height:595.5pt" o:ole="">
            <v:imagedata r:id="rId9" o:title=""/>
          </v:shape>
          <o:OLEObject Type="Embed" ProgID="Visio.Drawing.15" ShapeID="_x0000_i1025" DrawAspect="Content" ObjectID="_1778586661" r:id="rId10"/>
        </w:object>
      </w:r>
    </w:p>
    <w:sectPr w:rsidR="008036A0" w:rsidRPr="00B67D0B" w:rsidSect="00C2119E">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4E6DE" w14:textId="77777777" w:rsidR="0098220C" w:rsidRDefault="0098220C" w:rsidP="00B041FC">
      <w:pPr>
        <w:spacing w:after="0" w:line="240" w:lineRule="auto"/>
      </w:pPr>
      <w:r>
        <w:separator/>
      </w:r>
    </w:p>
  </w:endnote>
  <w:endnote w:type="continuationSeparator" w:id="0">
    <w:p w14:paraId="5C17414E" w14:textId="77777777" w:rsidR="0098220C" w:rsidRDefault="0098220C" w:rsidP="00B04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8B635" w14:textId="00E25B4E" w:rsidR="00B041FC" w:rsidRDefault="008A0523">
    <w:pPr>
      <w:pStyle w:val="Footer"/>
    </w:pPr>
    <w:r>
      <w:t>Adult Care, Housing &amp; Public Health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2DDE2" w14:textId="77777777" w:rsidR="0098220C" w:rsidRDefault="0098220C" w:rsidP="00B041FC">
      <w:pPr>
        <w:spacing w:after="0" w:line="240" w:lineRule="auto"/>
      </w:pPr>
      <w:r>
        <w:separator/>
      </w:r>
    </w:p>
  </w:footnote>
  <w:footnote w:type="continuationSeparator" w:id="0">
    <w:p w14:paraId="39E0DB91" w14:textId="77777777" w:rsidR="0098220C" w:rsidRDefault="0098220C" w:rsidP="00B041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95648" w14:textId="49A6A4A9" w:rsidR="00DB5AC3" w:rsidRDefault="00DB5AC3">
    <w:pPr>
      <w:pStyle w:val="Header"/>
    </w:pPr>
  </w:p>
  <w:p w14:paraId="1907C9A1" w14:textId="77777777" w:rsidR="00DB5AC3" w:rsidRDefault="00DB5A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620B5"/>
    <w:multiLevelType w:val="hybridMultilevel"/>
    <w:tmpl w:val="DAAC8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C5360"/>
    <w:multiLevelType w:val="hybridMultilevel"/>
    <w:tmpl w:val="9C7EF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837CAA"/>
    <w:multiLevelType w:val="hybridMultilevel"/>
    <w:tmpl w:val="9768E5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9A3546"/>
    <w:multiLevelType w:val="multilevel"/>
    <w:tmpl w:val="E2D8329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EEE1D09"/>
    <w:multiLevelType w:val="hybridMultilevel"/>
    <w:tmpl w:val="32BE1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834A67"/>
    <w:multiLevelType w:val="hybridMultilevel"/>
    <w:tmpl w:val="0A9A2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865E53"/>
    <w:multiLevelType w:val="hybridMultilevel"/>
    <w:tmpl w:val="CDE8E1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294511"/>
    <w:multiLevelType w:val="hybridMultilevel"/>
    <w:tmpl w:val="C4E28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A92530"/>
    <w:multiLevelType w:val="hybridMultilevel"/>
    <w:tmpl w:val="CA748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7B6F82"/>
    <w:multiLevelType w:val="hybridMultilevel"/>
    <w:tmpl w:val="93A0D72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A836796"/>
    <w:multiLevelType w:val="hybridMultilevel"/>
    <w:tmpl w:val="44CE1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A05868"/>
    <w:multiLevelType w:val="hybridMultilevel"/>
    <w:tmpl w:val="CDC0E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7320BD"/>
    <w:multiLevelType w:val="hybridMultilevel"/>
    <w:tmpl w:val="687CC4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9411686">
    <w:abstractNumId w:val="12"/>
  </w:num>
  <w:num w:numId="2" w16cid:durableId="1782913265">
    <w:abstractNumId w:val="0"/>
  </w:num>
  <w:num w:numId="3" w16cid:durableId="1915622803">
    <w:abstractNumId w:val="2"/>
  </w:num>
  <w:num w:numId="4" w16cid:durableId="696659343">
    <w:abstractNumId w:val="8"/>
  </w:num>
  <w:num w:numId="5" w16cid:durableId="1326742310">
    <w:abstractNumId w:val="7"/>
  </w:num>
  <w:num w:numId="6" w16cid:durableId="934482463">
    <w:abstractNumId w:val="5"/>
  </w:num>
  <w:num w:numId="7" w16cid:durableId="586382934">
    <w:abstractNumId w:val="10"/>
  </w:num>
  <w:num w:numId="8" w16cid:durableId="1325011985">
    <w:abstractNumId w:val="11"/>
  </w:num>
  <w:num w:numId="9" w16cid:durableId="1530605463">
    <w:abstractNumId w:val="6"/>
  </w:num>
  <w:num w:numId="10" w16cid:durableId="343747878">
    <w:abstractNumId w:val="9"/>
  </w:num>
  <w:num w:numId="11" w16cid:durableId="1979601915">
    <w:abstractNumId w:val="3"/>
  </w:num>
  <w:num w:numId="12" w16cid:durableId="2081367551">
    <w:abstractNumId w:val="1"/>
  </w:num>
  <w:num w:numId="13" w16cid:durableId="744378823">
    <w:abstractNumId w:val="4"/>
  </w:num>
  <w:num w:numId="14" w16cid:durableId="1669408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89E"/>
    <w:rsid w:val="00000AE6"/>
    <w:rsid w:val="00045FA2"/>
    <w:rsid w:val="00047F2F"/>
    <w:rsid w:val="0005023A"/>
    <w:rsid w:val="000558A0"/>
    <w:rsid w:val="000A03CC"/>
    <w:rsid w:val="000B72FA"/>
    <w:rsid w:val="00105489"/>
    <w:rsid w:val="00111D54"/>
    <w:rsid w:val="001268F0"/>
    <w:rsid w:val="00146EC2"/>
    <w:rsid w:val="00147088"/>
    <w:rsid w:val="00155839"/>
    <w:rsid w:val="001938B9"/>
    <w:rsid w:val="001B7C6A"/>
    <w:rsid w:val="001D7D70"/>
    <w:rsid w:val="001E712E"/>
    <w:rsid w:val="00202017"/>
    <w:rsid w:val="002216C0"/>
    <w:rsid w:val="00240BD2"/>
    <w:rsid w:val="0025045A"/>
    <w:rsid w:val="00254A6D"/>
    <w:rsid w:val="00284376"/>
    <w:rsid w:val="002B1AD5"/>
    <w:rsid w:val="002B1F48"/>
    <w:rsid w:val="002C0443"/>
    <w:rsid w:val="002C0740"/>
    <w:rsid w:val="002C3C28"/>
    <w:rsid w:val="002C3E13"/>
    <w:rsid w:val="002D7EA9"/>
    <w:rsid w:val="002E036D"/>
    <w:rsid w:val="00305B2A"/>
    <w:rsid w:val="00305FEC"/>
    <w:rsid w:val="00314DA3"/>
    <w:rsid w:val="003271A7"/>
    <w:rsid w:val="003632C3"/>
    <w:rsid w:val="003850B4"/>
    <w:rsid w:val="00391589"/>
    <w:rsid w:val="00394912"/>
    <w:rsid w:val="003969FD"/>
    <w:rsid w:val="003A7D50"/>
    <w:rsid w:val="003B7CA9"/>
    <w:rsid w:val="003D76E2"/>
    <w:rsid w:val="004027E5"/>
    <w:rsid w:val="004315EB"/>
    <w:rsid w:val="0047553B"/>
    <w:rsid w:val="0048396B"/>
    <w:rsid w:val="004907D3"/>
    <w:rsid w:val="004A6901"/>
    <w:rsid w:val="004B1B16"/>
    <w:rsid w:val="004D7B87"/>
    <w:rsid w:val="004E55B1"/>
    <w:rsid w:val="0054047F"/>
    <w:rsid w:val="0055456B"/>
    <w:rsid w:val="00581111"/>
    <w:rsid w:val="005A72DB"/>
    <w:rsid w:val="005D6D1B"/>
    <w:rsid w:val="005E4C00"/>
    <w:rsid w:val="005F0339"/>
    <w:rsid w:val="00616BD8"/>
    <w:rsid w:val="00621189"/>
    <w:rsid w:val="00656BB9"/>
    <w:rsid w:val="00665B1A"/>
    <w:rsid w:val="00692E40"/>
    <w:rsid w:val="006B73AF"/>
    <w:rsid w:val="006D166A"/>
    <w:rsid w:val="006E5716"/>
    <w:rsid w:val="006F103B"/>
    <w:rsid w:val="007018FB"/>
    <w:rsid w:val="0072151F"/>
    <w:rsid w:val="00726BD5"/>
    <w:rsid w:val="00737820"/>
    <w:rsid w:val="007448D2"/>
    <w:rsid w:val="00757276"/>
    <w:rsid w:val="00763E35"/>
    <w:rsid w:val="007663DF"/>
    <w:rsid w:val="00772952"/>
    <w:rsid w:val="0078569A"/>
    <w:rsid w:val="007A5453"/>
    <w:rsid w:val="007A7AEF"/>
    <w:rsid w:val="007B138B"/>
    <w:rsid w:val="007C627C"/>
    <w:rsid w:val="007D5B69"/>
    <w:rsid w:val="008036A0"/>
    <w:rsid w:val="0081789E"/>
    <w:rsid w:val="00834595"/>
    <w:rsid w:val="008414FF"/>
    <w:rsid w:val="00842D12"/>
    <w:rsid w:val="00855054"/>
    <w:rsid w:val="008568D0"/>
    <w:rsid w:val="008772DB"/>
    <w:rsid w:val="008A0523"/>
    <w:rsid w:val="008A5898"/>
    <w:rsid w:val="008C6621"/>
    <w:rsid w:val="008E0360"/>
    <w:rsid w:val="00942475"/>
    <w:rsid w:val="009424AB"/>
    <w:rsid w:val="009566ED"/>
    <w:rsid w:val="00964914"/>
    <w:rsid w:val="0098220C"/>
    <w:rsid w:val="00993FDC"/>
    <w:rsid w:val="009A30E3"/>
    <w:rsid w:val="009B3D07"/>
    <w:rsid w:val="009B4986"/>
    <w:rsid w:val="009C08BD"/>
    <w:rsid w:val="009D3244"/>
    <w:rsid w:val="009D7132"/>
    <w:rsid w:val="009F5639"/>
    <w:rsid w:val="009F70B9"/>
    <w:rsid w:val="00A032C2"/>
    <w:rsid w:val="00A41547"/>
    <w:rsid w:val="00A41997"/>
    <w:rsid w:val="00A50757"/>
    <w:rsid w:val="00A53BFD"/>
    <w:rsid w:val="00A55E48"/>
    <w:rsid w:val="00A64C79"/>
    <w:rsid w:val="00A71AEB"/>
    <w:rsid w:val="00A750F2"/>
    <w:rsid w:val="00A7553A"/>
    <w:rsid w:val="00A86A30"/>
    <w:rsid w:val="00A95D1B"/>
    <w:rsid w:val="00AB0180"/>
    <w:rsid w:val="00B00878"/>
    <w:rsid w:val="00B041FC"/>
    <w:rsid w:val="00B331B0"/>
    <w:rsid w:val="00B65E04"/>
    <w:rsid w:val="00B67D0B"/>
    <w:rsid w:val="00B73DE6"/>
    <w:rsid w:val="00B75879"/>
    <w:rsid w:val="00B86AA4"/>
    <w:rsid w:val="00BB2986"/>
    <w:rsid w:val="00BC3FC1"/>
    <w:rsid w:val="00BF4CD6"/>
    <w:rsid w:val="00C06853"/>
    <w:rsid w:val="00C2119E"/>
    <w:rsid w:val="00C22899"/>
    <w:rsid w:val="00C3426D"/>
    <w:rsid w:val="00C35950"/>
    <w:rsid w:val="00C51514"/>
    <w:rsid w:val="00C52FC4"/>
    <w:rsid w:val="00C5509C"/>
    <w:rsid w:val="00C56153"/>
    <w:rsid w:val="00C743EF"/>
    <w:rsid w:val="00C745BF"/>
    <w:rsid w:val="00C95054"/>
    <w:rsid w:val="00CB4EB1"/>
    <w:rsid w:val="00D12529"/>
    <w:rsid w:val="00D14CC2"/>
    <w:rsid w:val="00D1651B"/>
    <w:rsid w:val="00D305BC"/>
    <w:rsid w:val="00D43ADB"/>
    <w:rsid w:val="00D660BA"/>
    <w:rsid w:val="00D66607"/>
    <w:rsid w:val="00D667B1"/>
    <w:rsid w:val="00D952E2"/>
    <w:rsid w:val="00DA597E"/>
    <w:rsid w:val="00DB29C5"/>
    <w:rsid w:val="00DB342E"/>
    <w:rsid w:val="00DB5AC3"/>
    <w:rsid w:val="00DC4382"/>
    <w:rsid w:val="00E62EFB"/>
    <w:rsid w:val="00E746E2"/>
    <w:rsid w:val="00E9427B"/>
    <w:rsid w:val="00F0501C"/>
    <w:rsid w:val="00F37EC7"/>
    <w:rsid w:val="00F522E9"/>
    <w:rsid w:val="00F53287"/>
    <w:rsid w:val="00F55A31"/>
    <w:rsid w:val="00F63E38"/>
    <w:rsid w:val="00F740F3"/>
    <w:rsid w:val="00F8255A"/>
    <w:rsid w:val="00FA2AE1"/>
    <w:rsid w:val="00FF0E7E"/>
    <w:rsid w:val="00FF24A6"/>
    <w:rsid w:val="00FF5D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DF68C6"/>
  <w15:docId w15:val="{78155F00-1764-4C5D-BEA4-1F5755188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276"/>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789E"/>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789E"/>
    <w:pPr>
      <w:ind w:left="720"/>
      <w:contextualSpacing/>
    </w:pPr>
  </w:style>
  <w:style w:type="paragraph" w:customStyle="1" w:styleId="Default">
    <w:name w:val="Default"/>
    <w:rsid w:val="0081789E"/>
    <w:pPr>
      <w:autoSpaceDE w:val="0"/>
      <w:autoSpaceDN w:val="0"/>
      <w:adjustRightInd w:val="0"/>
      <w:spacing w:after="0" w:line="240" w:lineRule="auto"/>
    </w:pPr>
    <w:rPr>
      <w:rFonts w:cs="Arial"/>
      <w:color w:val="000000"/>
      <w:szCs w:val="24"/>
    </w:rPr>
  </w:style>
  <w:style w:type="character" w:customStyle="1" w:styleId="apple-converted-space">
    <w:name w:val="apple-converted-space"/>
    <w:basedOn w:val="DefaultParagraphFont"/>
    <w:rsid w:val="0081789E"/>
  </w:style>
  <w:style w:type="character" w:styleId="CommentReference">
    <w:name w:val="annotation reference"/>
    <w:basedOn w:val="DefaultParagraphFont"/>
    <w:uiPriority w:val="99"/>
    <w:semiHidden/>
    <w:unhideWhenUsed/>
    <w:rsid w:val="0081789E"/>
    <w:rPr>
      <w:sz w:val="16"/>
      <w:szCs w:val="16"/>
    </w:rPr>
  </w:style>
  <w:style w:type="paragraph" w:styleId="CommentText">
    <w:name w:val="annotation text"/>
    <w:basedOn w:val="Normal"/>
    <w:link w:val="CommentTextChar"/>
    <w:uiPriority w:val="99"/>
    <w:semiHidden/>
    <w:unhideWhenUsed/>
    <w:rsid w:val="0081789E"/>
    <w:pPr>
      <w:spacing w:line="240" w:lineRule="auto"/>
    </w:pPr>
    <w:rPr>
      <w:sz w:val="20"/>
      <w:szCs w:val="20"/>
    </w:rPr>
  </w:style>
  <w:style w:type="character" w:customStyle="1" w:styleId="CommentTextChar">
    <w:name w:val="Comment Text Char"/>
    <w:basedOn w:val="DefaultParagraphFont"/>
    <w:link w:val="CommentText"/>
    <w:uiPriority w:val="99"/>
    <w:semiHidden/>
    <w:rsid w:val="0081789E"/>
    <w:rPr>
      <w:rFonts w:asciiTheme="minorHAnsi" w:hAnsiTheme="minorHAnsi"/>
      <w:sz w:val="20"/>
      <w:szCs w:val="20"/>
    </w:rPr>
  </w:style>
  <w:style w:type="paragraph" w:styleId="BalloonText">
    <w:name w:val="Balloon Text"/>
    <w:basedOn w:val="Normal"/>
    <w:link w:val="BalloonTextChar"/>
    <w:uiPriority w:val="99"/>
    <w:semiHidden/>
    <w:unhideWhenUsed/>
    <w:rsid w:val="008178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89E"/>
    <w:rPr>
      <w:rFonts w:ascii="Tahoma" w:hAnsi="Tahoma" w:cs="Tahoma"/>
      <w:sz w:val="16"/>
      <w:szCs w:val="16"/>
    </w:rPr>
  </w:style>
  <w:style w:type="paragraph" w:styleId="Header">
    <w:name w:val="header"/>
    <w:basedOn w:val="Normal"/>
    <w:link w:val="HeaderChar"/>
    <w:uiPriority w:val="99"/>
    <w:unhideWhenUsed/>
    <w:rsid w:val="00B041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1FC"/>
    <w:rPr>
      <w:rFonts w:asciiTheme="minorHAnsi" w:hAnsiTheme="minorHAnsi"/>
      <w:sz w:val="22"/>
    </w:rPr>
  </w:style>
  <w:style w:type="paragraph" w:styleId="Footer">
    <w:name w:val="footer"/>
    <w:basedOn w:val="Normal"/>
    <w:link w:val="FooterChar"/>
    <w:uiPriority w:val="99"/>
    <w:unhideWhenUsed/>
    <w:rsid w:val="00B041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1FC"/>
    <w:rPr>
      <w:rFonts w:asciiTheme="minorHAnsi" w:hAnsiTheme="minorHAnsi"/>
      <w:sz w:val="22"/>
    </w:rPr>
  </w:style>
  <w:style w:type="table" w:customStyle="1" w:styleId="TableGrid1">
    <w:name w:val="Table Grid1"/>
    <w:basedOn w:val="TableNormal"/>
    <w:next w:val="TableGrid"/>
    <w:uiPriority w:val="59"/>
    <w:rsid w:val="002C3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4047F"/>
    <w:rPr>
      <w:b/>
      <w:bCs/>
    </w:rPr>
  </w:style>
  <w:style w:type="character" w:customStyle="1" w:styleId="CommentSubjectChar">
    <w:name w:val="Comment Subject Char"/>
    <w:basedOn w:val="CommentTextChar"/>
    <w:link w:val="CommentSubject"/>
    <w:uiPriority w:val="99"/>
    <w:semiHidden/>
    <w:rsid w:val="0054047F"/>
    <w:rPr>
      <w:rFonts w:asciiTheme="minorHAnsi" w:hAnsiTheme="minorHAnsi"/>
      <w:b/>
      <w:bCs/>
      <w:sz w:val="20"/>
      <w:szCs w:val="20"/>
    </w:rPr>
  </w:style>
  <w:style w:type="paragraph" w:styleId="Revision">
    <w:name w:val="Revision"/>
    <w:hidden/>
    <w:uiPriority w:val="99"/>
    <w:semiHidden/>
    <w:rsid w:val="00A032C2"/>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608247">
      <w:bodyDiv w:val="1"/>
      <w:marLeft w:val="0"/>
      <w:marRight w:val="0"/>
      <w:marTop w:val="0"/>
      <w:marBottom w:val="0"/>
      <w:divBdr>
        <w:top w:val="none" w:sz="0" w:space="0" w:color="auto"/>
        <w:left w:val="none" w:sz="0" w:space="0" w:color="auto"/>
        <w:bottom w:val="none" w:sz="0" w:space="0" w:color="auto"/>
        <w:right w:val="none" w:sz="0" w:space="0" w:color="auto"/>
      </w:divBdr>
    </w:div>
    <w:div w:id="900092763">
      <w:bodyDiv w:val="1"/>
      <w:marLeft w:val="0"/>
      <w:marRight w:val="0"/>
      <w:marTop w:val="0"/>
      <w:marBottom w:val="0"/>
      <w:divBdr>
        <w:top w:val="none" w:sz="0" w:space="0" w:color="auto"/>
        <w:left w:val="none" w:sz="0" w:space="0" w:color="auto"/>
        <w:bottom w:val="none" w:sz="0" w:space="0" w:color="auto"/>
        <w:right w:val="none" w:sz="0" w:space="0" w:color="auto"/>
      </w:divBdr>
    </w:div>
    <w:div w:id="1104155020">
      <w:bodyDiv w:val="1"/>
      <w:marLeft w:val="0"/>
      <w:marRight w:val="0"/>
      <w:marTop w:val="0"/>
      <w:marBottom w:val="0"/>
      <w:divBdr>
        <w:top w:val="none" w:sz="0" w:space="0" w:color="auto"/>
        <w:left w:val="none" w:sz="0" w:space="0" w:color="auto"/>
        <w:bottom w:val="none" w:sz="0" w:space="0" w:color="auto"/>
        <w:right w:val="none" w:sz="0" w:space="0" w:color="auto"/>
      </w:divBdr>
    </w:div>
    <w:div w:id="1431076318">
      <w:bodyDiv w:val="1"/>
      <w:marLeft w:val="0"/>
      <w:marRight w:val="0"/>
      <w:marTop w:val="0"/>
      <w:marBottom w:val="0"/>
      <w:divBdr>
        <w:top w:val="none" w:sz="0" w:space="0" w:color="auto"/>
        <w:left w:val="none" w:sz="0" w:space="0" w:color="auto"/>
        <w:bottom w:val="none" w:sz="0" w:space="0" w:color="auto"/>
        <w:right w:val="none" w:sz="0" w:space="0" w:color="auto"/>
      </w:divBdr>
    </w:div>
    <w:div w:id="1548566027">
      <w:bodyDiv w:val="1"/>
      <w:marLeft w:val="0"/>
      <w:marRight w:val="0"/>
      <w:marTop w:val="0"/>
      <w:marBottom w:val="0"/>
      <w:divBdr>
        <w:top w:val="none" w:sz="0" w:space="0" w:color="auto"/>
        <w:left w:val="none" w:sz="0" w:space="0" w:color="auto"/>
        <w:bottom w:val="none" w:sz="0" w:space="0" w:color="auto"/>
        <w:right w:val="none" w:sz="0" w:space="0" w:color="auto"/>
      </w:divBdr>
    </w:div>
    <w:div w:id="192579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package" Target="embeddings/Microsoft_Visio_Drawing.vsd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77600-70BF-489C-9C94-41D255967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2377</Words>
  <Characters>13552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Rotherham Metropolitan Borough Council</Company>
  <LinksUpToDate>false</LinksUpToDate>
  <CharactersWithSpaces>15898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Beasley, Nicholas</dc:creator>
  <cp:lastModifiedBy>Jackie Cobb</cp:lastModifiedBy>
  <cp:revision>2</cp:revision>
  <cp:lastPrinted>2023-06-28T09:25:00Z</cp:lastPrinted>
  <dcterms:created xsi:type="dcterms:W3CDTF">2024-05-30T14:05:00Z</dcterms:created>
  <dcterms:modified xsi:type="dcterms:W3CDTF">2024-05-30T14:05:00Z</dcterms:modified>
</cp:coreProperties>
</file>