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22006161"/>
        <w:docPartObj>
          <w:docPartGallery w:val="Cover Pages"/>
          <w:docPartUnique/>
        </w:docPartObj>
      </w:sdtPr>
      <w:sdtEndPr>
        <w:rPr>
          <w:rFonts w:ascii="Arial" w:hAnsi="Arial" w:cs="Arial"/>
        </w:rPr>
      </w:sdtEndPr>
      <w:sdtContent>
        <w:p w14:paraId="2652267D" w14:textId="75D95F24" w:rsidR="005E3952" w:rsidRDefault="009B141A" w:rsidP="00D73374">
          <w:pPr>
            <w:spacing w:line="276" w:lineRule="auto"/>
          </w:pPr>
          <w:r w:rsidRPr="00853851">
            <w:rPr>
              <w:noProof/>
              <w:lang w:eastAsia="en-GB"/>
            </w:rPr>
            <w:drawing>
              <wp:anchor distT="0" distB="0" distL="114300" distR="114300" simplePos="0" relativeHeight="251658240" behindDoc="0" locked="0" layoutInCell="1" allowOverlap="1" wp14:anchorId="6950E486" wp14:editId="698E6C8A">
                <wp:simplePos x="0" y="0"/>
                <wp:positionH relativeFrom="column">
                  <wp:posOffset>3388509</wp:posOffset>
                </wp:positionH>
                <wp:positionV relativeFrom="paragraph">
                  <wp:posOffset>-344805</wp:posOffset>
                </wp:positionV>
                <wp:extent cx="2647507" cy="949675"/>
                <wp:effectExtent l="0" t="0" r="635"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2419" b="-2419"/>
                        <a:stretch/>
                      </pic:blipFill>
                      <pic:spPr bwMode="auto">
                        <a:xfrm>
                          <a:off x="0" y="0"/>
                          <a:ext cx="2647507" cy="949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141A">
            <w:rPr>
              <w:noProof/>
            </w:rPr>
            <w:drawing>
              <wp:anchor distT="0" distB="0" distL="114300" distR="114300" simplePos="0" relativeHeight="251658242" behindDoc="0" locked="0" layoutInCell="1" allowOverlap="1" wp14:anchorId="5EE864B6" wp14:editId="17E6D402">
                <wp:simplePos x="0" y="0"/>
                <wp:positionH relativeFrom="column">
                  <wp:posOffset>-315776</wp:posOffset>
                </wp:positionH>
                <wp:positionV relativeFrom="paragraph">
                  <wp:posOffset>-672465</wp:posOffset>
                </wp:positionV>
                <wp:extent cx="3162300" cy="150495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3162300" cy="1504950"/>
                        </a:xfrm>
                        <a:prstGeom prst="rect">
                          <a:avLst/>
                        </a:prstGeom>
                      </pic:spPr>
                    </pic:pic>
                  </a:graphicData>
                </a:graphic>
              </wp:anchor>
            </w:drawing>
          </w:r>
        </w:p>
        <w:p w14:paraId="389B5490" w14:textId="77777777" w:rsidR="005E3952" w:rsidRDefault="005E3952" w:rsidP="00D73374">
          <w:pPr>
            <w:spacing w:after="160" w:line="276" w:lineRule="auto"/>
          </w:pPr>
        </w:p>
        <w:p w14:paraId="3A07F945" w14:textId="77777777" w:rsidR="005E3952" w:rsidRDefault="005E3952" w:rsidP="00D73374">
          <w:pPr>
            <w:spacing w:after="160" w:line="276" w:lineRule="auto"/>
          </w:pPr>
        </w:p>
        <w:p w14:paraId="5EF2A78D" w14:textId="77777777" w:rsidR="005E3952" w:rsidRDefault="005E3952" w:rsidP="00D73374">
          <w:pPr>
            <w:spacing w:after="160" w:line="276" w:lineRule="auto"/>
          </w:pPr>
        </w:p>
        <w:p w14:paraId="5232BE8C" w14:textId="57C80021" w:rsidR="001841D4" w:rsidRPr="005F414E" w:rsidRDefault="00F03D38" w:rsidP="00D73374">
          <w:pPr>
            <w:spacing w:after="160" w:line="276" w:lineRule="auto"/>
            <w:rPr>
              <w:rFonts w:ascii="Arial" w:hAnsi="Arial" w:cs="Arial"/>
              <w:b/>
              <w:noProof/>
              <w:sz w:val="56"/>
              <w:szCs w:val="56"/>
              <w:lang w:eastAsia="en-GB"/>
            </w:rPr>
          </w:pPr>
          <w:r w:rsidRPr="005F414E">
            <w:rPr>
              <w:rFonts w:ascii="Arial" w:hAnsi="Arial" w:cs="Arial"/>
              <w:b/>
              <w:noProof/>
              <w:sz w:val="56"/>
              <w:szCs w:val="56"/>
              <w:lang w:eastAsia="en-GB"/>
            </w:rPr>
            <w:t xml:space="preserve">Doncaster and Rotherham </w:t>
          </w:r>
          <w:r w:rsidR="008C15CC">
            <w:rPr>
              <w:rFonts w:ascii="Arial" w:hAnsi="Arial" w:cs="Arial"/>
              <w:b/>
              <w:noProof/>
              <w:sz w:val="56"/>
              <w:szCs w:val="56"/>
              <w:lang w:eastAsia="en-GB"/>
            </w:rPr>
            <w:t>Local Aggregates Assessment 202</w:t>
          </w:r>
          <w:r w:rsidR="00751D23">
            <w:rPr>
              <w:rFonts w:ascii="Arial" w:hAnsi="Arial" w:cs="Arial"/>
              <w:b/>
              <w:noProof/>
              <w:sz w:val="56"/>
              <w:szCs w:val="56"/>
              <w:lang w:eastAsia="en-GB"/>
            </w:rPr>
            <w:t>4</w:t>
          </w:r>
        </w:p>
        <w:p w14:paraId="4F6447FF" w14:textId="28A7F75F" w:rsidR="00F03D38" w:rsidRPr="005F414E" w:rsidRDefault="00114BAC" w:rsidP="00D73374">
          <w:pPr>
            <w:spacing w:after="160" w:line="276" w:lineRule="auto"/>
            <w:rPr>
              <w:rFonts w:ascii="Arial" w:hAnsi="Arial" w:cs="Arial"/>
              <w:b/>
              <w:noProof/>
              <w:sz w:val="28"/>
              <w:szCs w:val="28"/>
              <w:lang w:val="en-US" w:eastAsia="en-GB"/>
            </w:rPr>
          </w:pPr>
          <w:r>
            <w:rPr>
              <w:rFonts w:ascii="Arial" w:hAnsi="Arial" w:cs="Arial"/>
              <w:b/>
              <w:noProof/>
              <w:sz w:val="28"/>
              <w:szCs w:val="28"/>
              <w:lang w:val="en-US" w:eastAsia="en-GB"/>
            </w:rPr>
            <w:t>(Incorporating 2</w:t>
          </w:r>
          <w:r w:rsidR="00F03D38" w:rsidRPr="005F414E">
            <w:rPr>
              <w:rFonts w:ascii="Arial" w:hAnsi="Arial" w:cs="Arial"/>
              <w:b/>
              <w:noProof/>
              <w:sz w:val="28"/>
              <w:szCs w:val="28"/>
              <w:lang w:val="en-US" w:eastAsia="en-GB"/>
            </w:rPr>
            <w:t>0</w:t>
          </w:r>
          <w:r w:rsidR="008C15CC">
            <w:rPr>
              <w:rFonts w:ascii="Arial" w:hAnsi="Arial" w:cs="Arial"/>
              <w:b/>
              <w:noProof/>
              <w:sz w:val="28"/>
              <w:szCs w:val="28"/>
              <w:lang w:val="en-US" w:eastAsia="en-GB"/>
            </w:rPr>
            <w:t>2</w:t>
          </w:r>
          <w:r w:rsidR="00751D23">
            <w:rPr>
              <w:rFonts w:ascii="Arial" w:hAnsi="Arial" w:cs="Arial"/>
              <w:b/>
              <w:noProof/>
              <w:sz w:val="28"/>
              <w:szCs w:val="28"/>
              <w:lang w:val="en-US" w:eastAsia="en-GB"/>
            </w:rPr>
            <w:t>3</w:t>
          </w:r>
          <w:r w:rsidR="00F03D38" w:rsidRPr="005F414E">
            <w:rPr>
              <w:rFonts w:ascii="Arial" w:hAnsi="Arial" w:cs="Arial"/>
              <w:b/>
              <w:noProof/>
              <w:sz w:val="28"/>
              <w:szCs w:val="28"/>
              <w:lang w:val="en-US" w:eastAsia="en-GB"/>
            </w:rPr>
            <w:t xml:space="preserve"> Aggregates Monitoring Data) </w:t>
          </w:r>
        </w:p>
        <w:p w14:paraId="552AE3F1" w14:textId="5E746147" w:rsidR="00F03D38" w:rsidRPr="00537936" w:rsidRDefault="0022478F" w:rsidP="00D73374">
          <w:pPr>
            <w:spacing w:after="160" w:line="276" w:lineRule="auto"/>
            <w:rPr>
              <w:rFonts w:ascii="Arial" w:hAnsi="Arial" w:cs="Arial"/>
              <w:b/>
              <w:noProof/>
              <w:color w:val="404040" w:themeColor="text1" w:themeTint="BF"/>
              <w:sz w:val="28"/>
              <w:szCs w:val="28"/>
              <w:lang w:val="en-US" w:eastAsia="en-GB"/>
            </w:rPr>
          </w:pPr>
          <w:r>
            <w:rPr>
              <w:rFonts w:ascii="Arial" w:hAnsi="Arial" w:cs="Arial"/>
              <w:b/>
              <w:noProof/>
              <w:color w:val="404040" w:themeColor="text1" w:themeTint="BF"/>
              <w:sz w:val="28"/>
              <w:szCs w:val="28"/>
              <w:lang w:val="en-US" w:eastAsia="en-GB"/>
            </w:rPr>
            <w:t>A</w:t>
          </w:r>
          <w:r w:rsidR="000244E0">
            <w:rPr>
              <w:rFonts w:ascii="Arial" w:hAnsi="Arial" w:cs="Arial"/>
              <w:b/>
              <w:noProof/>
              <w:color w:val="404040" w:themeColor="text1" w:themeTint="BF"/>
              <w:sz w:val="28"/>
              <w:szCs w:val="28"/>
              <w:lang w:val="en-US" w:eastAsia="en-GB"/>
            </w:rPr>
            <w:t xml:space="preserve">ggregate </w:t>
          </w:r>
          <w:r>
            <w:rPr>
              <w:rFonts w:ascii="Arial" w:hAnsi="Arial" w:cs="Arial"/>
              <w:b/>
              <w:noProof/>
              <w:color w:val="404040" w:themeColor="text1" w:themeTint="BF"/>
              <w:sz w:val="28"/>
              <w:szCs w:val="28"/>
              <w:lang w:val="en-US" w:eastAsia="en-GB"/>
            </w:rPr>
            <w:t>W</w:t>
          </w:r>
          <w:r w:rsidR="000244E0">
            <w:rPr>
              <w:rFonts w:ascii="Arial" w:hAnsi="Arial" w:cs="Arial"/>
              <w:b/>
              <w:noProof/>
              <w:color w:val="404040" w:themeColor="text1" w:themeTint="BF"/>
              <w:sz w:val="28"/>
              <w:szCs w:val="28"/>
              <w:lang w:val="en-US" w:eastAsia="en-GB"/>
            </w:rPr>
            <w:t xml:space="preserve">orking </w:t>
          </w:r>
          <w:r>
            <w:rPr>
              <w:rFonts w:ascii="Arial" w:hAnsi="Arial" w:cs="Arial"/>
              <w:b/>
              <w:noProof/>
              <w:color w:val="404040" w:themeColor="text1" w:themeTint="BF"/>
              <w:sz w:val="28"/>
              <w:szCs w:val="28"/>
              <w:lang w:val="en-US" w:eastAsia="en-GB"/>
            </w:rPr>
            <w:t>P</w:t>
          </w:r>
          <w:r w:rsidR="000244E0">
            <w:rPr>
              <w:rFonts w:ascii="Arial" w:hAnsi="Arial" w:cs="Arial"/>
              <w:b/>
              <w:noProof/>
              <w:color w:val="404040" w:themeColor="text1" w:themeTint="BF"/>
              <w:sz w:val="28"/>
              <w:szCs w:val="28"/>
              <w:lang w:val="en-US" w:eastAsia="en-GB"/>
            </w:rPr>
            <w:t>arty</w:t>
          </w:r>
          <w:r w:rsidR="00222BC3">
            <w:rPr>
              <w:rFonts w:ascii="Arial" w:hAnsi="Arial" w:cs="Arial"/>
              <w:b/>
              <w:noProof/>
              <w:color w:val="404040" w:themeColor="text1" w:themeTint="BF"/>
              <w:sz w:val="28"/>
              <w:szCs w:val="28"/>
              <w:lang w:val="en-US" w:eastAsia="en-GB"/>
            </w:rPr>
            <w:t xml:space="preserve"> (AWP)</w:t>
          </w:r>
          <w:r>
            <w:rPr>
              <w:rFonts w:ascii="Arial" w:hAnsi="Arial" w:cs="Arial"/>
              <w:b/>
              <w:noProof/>
              <w:color w:val="404040" w:themeColor="text1" w:themeTint="BF"/>
              <w:sz w:val="28"/>
              <w:szCs w:val="28"/>
              <w:lang w:val="en-US" w:eastAsia="en-GB"/>
            </w:rPr>
            <w:t xml:space="preserve"> rati</w:t>
          </w:r>
          <w:r w:rsidR="000244E0">
            <w:rPr>
              <w:rFonts w:ascii="Arial" w:hAnsi="Arial" w:cs="Arial"/>
              <w:b/>
              <w:noProof/>
              <w:color w:val="404040" w:themeColor="text1" w:themeTint="BF"/>
              <w:sz w:val="28"/>
              <w:szCs w:val="28"/>
              <w:lang w:val="en-US" w:eastAsia="en-GB"/>
            </w:rPr>
            <w:t>fied</w:t>
          </w:r>
          <w:r w:rsidR="00FB021B">
            <w:rPr>
              <w:rFonts w:ascii="Arial" w:hAnsi="Arial" w:cs="Arial"/>
              <w:b/>
              <w:noProof/>
              <w:color w:val="404040" w:themeColor="text1" w:themeTint="BF"/>
              <w:sz w:val="28"/>
              <w:szCs w:val="28"/>
              <w:lang w:val="en-US" w:eastAsia="en-GB"/>
            </w:rPr>
            <w:t xml:space="preserve"> </w:t>
          </w:r>
          <w:r w:rsidR="00C70E80">
            <w:rPr>
              <w:rFonts w:ascii="Arial" w:hAnsi="Arial" w:cs="Arial"/>
              <w:b/>
              <w:noProof/>
              <w:color w:val="404040" w:themeColor="text1" w:themeTint="BF"/>
              <w:sz w:val="28"/>
              <w:szCs w:val="28"/>
              <w:lang w:val="en-US" w:eastAsia="en-GB"/>
            </w:rPr>
            <w:t>May</w:t>
          </w:r>
          <w:r w:rsidR="00511CB7">
            <w:rPr>
              <w:rFonts w:ascii="Arial" w:hAnsi="Arial" w:cs="Arial"/>
              <w:b/>
              <w:noProof/>
              <w:color w:val="404040" w:themeColor="text1" w:themeTint="BF"/>
              <w:sz w:val="28"/>
              <w:szCs w:val="28"/>
              <w:lang w:val="en-US" w:eastAsia="en-GB"/>
            </w:rPr>
            <w:t xml:space="preserve"> </w:t>
          </w:r>
          <w:r w:rsidR="00FB021B">
            <w:rPr>
              <w:rFonts w:ascii="Arial" w:hAnsi="Arial" w:cs="Arial"/>
              <w:b/>
              <w:noProof/>
              <w:color w:val="404040" w:themeColor="text1" w:themeTint="BF"/>
              <w:sz w:val="28"/>
              <w:szCs w:val="28"/>
              <w:lang w:val="en-US" w:eastAsia="en-GB"/>
            </w:rPr>
            <w:t>2025</w:t>
          </w:r>
          <w:r w:rsidR="000244E0">
            <w:rPr>
              <w:rFonts w:ascii="Arial" w:hAnsi="Arial" w:cs="Arial"/>
              <w:b/>
              <w:noProof/>
              <w:color w:val="404040" w:themeColor="text1" w:themeTint="BF"/>
              <w:sz w:val="28"/>
              <w:szCs w:val="28"/>
              <w:lang w:val="en-US" w:eastAsia="en-GB"/>
            </w:rPr>
            <w:t>.</w:t>
          </w:r>
        </w:p>
        <w:p w14:paraId="50FA31A0" w14:textId="04A4B531" w:rsidR="00486514" w:rsidRDefault="002034F5" w:rsidP="00D73374">
          <w:pPr>
            <w:spacing w:after="160" w:line="276" w:lineRule="auto"/>
          </w:pPr>
          <w:r w:rsidRPr="002034F5">
            <w:rPr>
              <w:noProof/>
              <w:lang w:eastAsia="en-GB"/>
            </w:rPr>
            <w:drawing>
              <wp:anchor distT="0" distB="0" distL="114300" distR="114300" simplePos="0" relativeHeight="251658241" behindDoc="0" locked="0" layoutInCell="1" allowOverlap="1" wp14:anchorId="6F41850E" wp14:editId="4709F6FE">
                <wp:simplePos x="0" y="0"/>
                <wp:positionH relativeFrom="column">
                  <wp:posOffset>-76200</wp:posOffset>
                </wp:positionH>
                <wp:positionV relativeFrom="page">
                  <wp:posOffset>4000500</wp:posOffset>
                </wp:positionV>
                <wp:extent cx="5829300" cy="4495800"/>
                <wp:effectExtent l="76200" t="76200" r="133350" b="133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3">
                          <a:extLst>
                            <a:ext uri="{28A0092B-C50C-407E-A947-70E740481C1C}">
                              <a14:useLocalDpi xmlns:a14="http://schemas.microsoft.com/office/drawing/2010/main" val="0"/>
                            </a:ext>
                          </a:extLst>
                        </a:blip>
                        <a:srcRect r="2610"/>
                        <a:stretch/>
                      </pic:blipFill>
                      <pic:spPr bwMode="auto">
                        <a:xfrm>
                          <a:off x="0" y="0"/>
                          <a:ext cx="5829300" cy="449580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6514" w:rsidRPr="00486514">
            <w:t xml:space="preserve"> </w:t>
          </w:r>
          <w:r w:rsidR="005E3952">
            <w:br w:type="page"/>
          </w:r>
        </w:p>
        <w:p w14:paraId="47666E71" w14:textId="3092920C" w:rsidR="00222BC3" w:rsidRDefault="00986202">
          <w:pPr>
            <w:pStyle w:val="TOC1"/>
            <w:rPr>
              <w:rFonts w:eastAsiaTheme="minorEastAsia"/>
              <w:noProof/>
              <w:kern w:val="2"/>
              <w:sz w:val="24"/>
              <w:szCs w:val="24"/>
              <w:lang w:eastAsia="en-GB"/>
              <w14:ligatures w14:val="standardContextual"/>
            </w:rPr>
          </w:pPr>
          <w:r>
            <w:rPr>
              <w:rFonts w:ascii="Arial" w:hAnsi="Arial" w:cs="Arial"/>
            </w:rPr>
            <w:lastRenderedPageBreak/>
            <w:fldChar w:fldCharType="begin"/>
          </w:r>
          <w:r>
            <w:rPr>
              <w:rFonts w:ascii="Arial" w:hAnsi="Arial" w:cs="Arial"/>
            </w:rPr>
            <w:instrText xml:space="preserve"> TOC \o "1-2" \h \z \u </w:instrText>
          </w:r>
          <w:r>
            <w:rPr>
              <w:rFonts w:ascii="Arial" w:hAnsi="Arial" w:cs="Arial"/>
            </w:rPr>
            <w:fldChar w:fldCharType="separate"/>
          </w:r>
          <w:hyperlink w:anchor="_Toc198549792" w:history="1">
            <w:r w:rsidR="00222BC3" w:rsidRPr="007172DC">
              <w:rPr>
                <w:rStyle w:val="Hyperlink"/>
                <w:rFonts w:ascii="Arial" w:eastAsia="Times New Roman" w:hAnsi="Arial" w:cs="Arial"/>
                <w:noProof/>
              </w:rPr>
              <w:t>Executive Summary</w:t>
            </w:r>
            <w:r w:rsidR="00222BC3">
              <w:rPr>
                <w:noProof/>
                <w:webHidden/>
              </w:rPr>
              <w:tab/>
            </w:r>
            <w:r w:rsidR="00222BC3">
              <w:rPr>
                <w:noProof/>
                <w:webHidden/>
              </w:rPr>
              <w:fldChar w:fldCharType="begin"/>
            </w:r>
            <w:r w:rsidR="00222BC3">
              <w:rPr>
                <w:noProof/>
                <w:webHidden/>
              </w:rPr>
              <w:instrText xml:space="preserve"> PAGEREF _Toc198549792 \h </w:instrText>
            </w:r>
            <w:r w:rsidR="00222BC3">
              <w:rPr>
                <w:noProof/>
                <w:webHidden/>
              </w:rPr>
            </w:r>
            <w:r w:rsidR="00222BC3">
              <w:rPr>
                <w:noProof/>
                <w:webHidden/>
              </w:rPr>
              <w:fldChar w:fldCharType="separate"/>
            </w:r>
            <w:r w:rsidR="00D864C4">
              <w:rPr>
                <w:noProof/>
                <w:webHidden/>
              </w:rPr>
              <w:t>2</w:t>
            </w:r>
            <w:r w:rsidR="00222BC3">
              <w:rPr>
                <w:noProof/>
                <w:webHidden/>
              </w:rPr>
              <w:fldChar w:fldCharType="end"/>
            </w:r>
          </w:hyperlink>
        </w:p>
        <w:p w14:paraId="3FA7B599" w14:textId="7B2FECCB" w:rsidR="00222BC3" w:rsidRDefault="00222BC3">
          <w:pPr>
            <w:pStyle w:val="TOC1"/>
            <w:rPr>
              <w:rFonts w:eastAsiaTheme="minorEastAsia"/>
              <w:noProof/>
              <w:kern w:val="2"/>
              <w:sz w:val="24"/>
              <w:szCs w:val="24"/>
              <w:lang w:eastAsia="en-GB"/>
              <w14:ligatures w14:val="standardContextual"/>
            </w:rPr>
          </w:pPr>
          <w:hyperlink w:anchor="_Toc198549793" w:history="1">
            <w:r w:rsidRPr="007172DC">
              <w:rPr>
                <w:rStyle w:val="Hyperlink"/>
                <w:rFonts w:ascii="Arial" w:eastAsia="Times New Roman" w:hAnsi="Arial" w:cs="Arial"/>
                <w:noProof/>
              </w:rPr>
              <w:t>Introduction</w:t>
            </w:r>
            <w:r>
              <w:rPr>
                <w:noProof/>
                <w:webHidden/>
              </w:rPr>
              <w:tab/>
            </w:r>
            <w:r>
              <w:rPr>
                <w:noProof/>
                <w:webHidden/>
              </w:rPr>
              <w:fldChar w:fldCharType="begin"/>
            </w:r>
            <w:r>
              <w:rPr>
                <w:noProof/>
                <w:webHidden/>
              </w:rPr>
              <w:instrText xml:space="preserve"> PAGEREF _Toc198549793 \h </w:instrText>
            </w:r>
            <w:r>
              <w:rPr>
                <w:noProof/>
                <w:webHidden/>
              </w:rPr>
            </w:r>
            <w:r>
              <w:rPr>
                <w:noProof/>
                <w:webHidden/>
              </w:rPr>
              <w:fldChar w:fldCharType="separate"/>
            </w:r>
            <w:r w:rsidR="00D864C4">
              <w:rPr>
                <w:noProof/>
                <w:webHidden/>
              </w:rPr>
              <w:t>4</w:t>
            </w:r>
            <w:r>
              <w:rPr>
                <w:noProof/>
                <w:webHidden/>
              </w:rPr>
              <w:fldChar w:fldCharType="end"/>
            </w:r>
          </w:hyperlink>
        </w:p>
        <w:p w14:paraId="1FEE928A" w14:textId="1A845DB7" w:rsidR="00222BC3" w:rsidRDefault="00222BC3">
          <w:pPr>
            <w:pStyle w:val="TOC2"/>
            <w:rPr>
              <w:rFonts w:eastAsiaTheme="minorEastAsia"/>
              <w:noProof/>
              <w:kern w:val="2"/>
              <w:sz w:val="24"/>
              <w:szCs w:val="24"/>
              <w:lang w:eastAsia="en-GB"/>
              <w14:ligatures w14:val="standardContextual"/>
            </w:rPr>
          </w:pPr>
          <w:hyperlink w:anchor="_Toc198549794" w:history="1">
            <w:r w:rsidRPr="007172DC">
              <w:rPr>
                <w:rStyle w:val="Hyperlink"/>
                <w:noProof/>
              </w:rPr>
              <w:t>The 2019 Aggregates Mineral Survey for England and Wales (published August 2021)</w:t>
            </w:r>
            <w:r>
              <w:rPr>
                <w:noProof/>
                <w:webHidden/>
              </w:rPr>
              <w:tab/>
            </w:r>
            <w:r>
              <w:rPr>
                <w:noProof/>
                <w:webHidden/>
              </w:rPr>
              <w:fldChar w:fldCharType="begin"/>
            </w:r>
            <w:r>
              <w:rPr>
                <w:noProof/>
                <w:webHidden/>
              </w:rPr>
              <w:instrText xml:space="preserve"> PAGEREF _Toc198549794 \h </w:instrText>
            </w:r>
            <w:r>
              <w:rPr>
                <w:noProof/>
                <w:webHidden/>
              </w:rPr>
            </w:r>
            <w:r>
              <w:rPr>
                <w:noProof/>
                <w:webHidden/>
              </w:rPr>
              <w:fldChar w:fldCharType="separate"/>
            </w:r>
            <w:r w:rsidR="00D864C4">
              <w:rPr>
                <w:noProof/>
                <w:webHidden/>
              </w:rPr>
              <w:t>5</w:t>
            </w:r>
            <w:r>
              <w:rPr>
                <w:noProof/>
                <w:webHidden/>
              </w:rPr>
              <w:fldChar w:fldCharType="end"/>
            </w:r>
          </w:hyperlink>
        </w:p>
        <w:p w14:paraId="1E787773" w14:textId="5D78B3B5" w:rsidR="00222BC3" w:rsidRDefault="00222BC3">
          <w:pPr>
            <w:pStyle w:val="TOC1"/>
            <w:rPr>
              <w:rFonts w:eastAsiaTheme="minorEastAsia"/>
              <w:noProof/>
              <w:kern w:val="2"/>
              <w:sz w:val="24"/>
              <w:szCs w:val="24"/>
              <w:lang w:eastAsia="en-GB"/>
              <w14:ligatures w14:val="standardContextual"/>
            </w:rPr>
          </w:pPr>
          <w:hyperlink w:anchor="_Toc198549795" w:history="1">
            <w:r w:rsidRPr="007172DC">
              <w:rPr>
                <w:rStyle w:val="Hyperlink"/>
                <w:rFonts w:ascii="Arial" w:eastAsia="Times New Roman" w:hAnsi="Arial" w:cs="Arial"/>
                <w:noProof/>
              </w:rPr>
              <w:t>2023 Monitoring Information Doncaster and Rotherham Mineral Planning Authorities</w:t>
            </w:r>
            <w:r>
              <w:rPr>
                <w:noProof/>
                <w:webHidden/>
              </w:rPr>
              <w:tab/>
            </w:r>
            <w:r>
              <w:rPr>
                <w:noProof/>
                <w:webHidden/>
              </w:rPr>
              <w:fldChar w:fldCharType="begin"/>
            </w:r>
            <w:r>
              <w:rPr>
                <w:noProof/>
                <w:webHidden/>
              </w:rPr>
              <w:instrText xml:space="preserve"> PAGEREF _Toc198549795 \h </w:instrText>
            </w:r>
            <w:r>
              <w:rPr>
                <w:noProof/>
                <w:webHidden/>
              </w:rPr>
            </w:r>
            <w:r>
              <w:rPr>
                <w:noProof/>
                <w:webHidden/>
              </w:rPr>
              <w:fldChar w:fldCharType="separate"/>
            </w:r>
            <w:r w:rsidR="00D864C4">
              <w:rPr>
                <w:noProof/>
                <w:webHidden/>
              </w:rPr>
              <w:t>5</w:t>
            </w:r>
            <w:r>
              <w:rPr>
                <w:noProof/>
                <w:webHidden/>
              </w:rPr>
              <w:fldChar w:fldCharType="end"/>
            </w:r>
          </w:hyperlink>
        </w:p>
        <w:p w14:paraId="0E8B3CEA" w14:textId="741D5DCD" w:rsidR="00222BC3" w:rsidRDefault="00222BC3">
          <w:pPr>
            <w:pStyle w:val="TOC2"/>
            <w:rPr>
              <w:rFonts w:eastAsiaTheme="minorEastAsia"/>
              <w:noProof/>
              <w:kern w:val="2"/>
              <w:sz w:val="24"/>
              <w:szCs w:val="24"/>
              <w:lang w:eastAsia="en-GB"/>
              <w14:ligatures w14:val="standardContextual"/>
            </w:rPr>
          </w:pPr>
          <w:hyperlink w:anchor="_Toc198549796" w:history="1">
            <w:r w:rsidRPr="007172DC">
              <w:rPr>
                <w:rStyle w:val="Hyperlink"/>
                <w:noProof/>
              </w:rPr>
              <w:t>Table 1. Sand and Gravel Quarries (Doncaster only)</w:t>
            </w:r>
            <w:r>
              <w:rPr>
                <w:noProof/>
                <w:webHidden/>
              </w:rPr>
              <w:tab/>
            </w:r>
            <w:r>
              <w:rPr>
                <w:noProof/>
                <w:webHidden/>
              </w:rPr>
              <w:fldChar w:fldCharType="begin"/>
            </w:r>
            <w:r>
              <w:rPr>
                <w:noProof/>
                <w:webHidden/>
              </w:rPr>
              <w:instrText xml:space="preserve"> PAGEREF _Toc198549796 \h </w:instrText>
            </w:r>
            <w:r>
              <w:rPr>
                <w:noProof/>
                <w:webHidden/>
              </w:rPr>
            </w:r>
            <w:r>
              <w:rPr>
                <w:noProof/>
                <w:webHidden/>
              </w:rPr>
              <w:fldChar w:fldCharType="separate"/>
            </w:r>
            <w:r w:rsidR="00D864C4">
              <w:rPr>
                <w:noProof/>
                <w:webHidden/>
              </w:rPr>
              <w:t>5</w:t>
            </w:r>
            <w:r>
              <w:rPr>
                <w:noProof/>
                <w:webHidden/>
              </w:rPr>
              <w:fldChar w:fldCharType="end"/>
            </w:r>
          </w:hyperlink>
        </w:p>
        <w:p w14:paraId="0EAC9116" w14:textId="337716F1" w:rsidR="00222BC3" w:rsidRDefault="00222BC3">
          <w:pPr>
            <w:pStyle w:val="TOC2"/>
            <w:rPr>
              <w:rFonts w:eastAsiaTheme="minorEastAsia"/>
              <w:noProof/>
              <w:kern w:val="2"/>
              <w:sz w:val="24"/>
              <w:szCs w:val="24"/>
              <w:lang w:eastAsia="en-GB"/>
              <w14:ligatures w14:val="standardContextual"/>
            </w:rPr>
          </w:pPr>
          <w:hyperlink w:anchor="_Toc198549797" w:history="1">
            <w:r w:rsidRPr="007172DC">
              <w:rPr>
                <w:rStyle w:val="Hyperlink"/>
                <w:noProof/>
              </w:rPr>
              <w:t>Table 2. Limestone Quarries Doncaster and Rotherham 2023</w:t>
            </w:r>
            <w:r>
              <w:rPr>
                <w:noProof/>
                <w:webHidden/>
              </w:rPr>
              <w:tab/>
            </w:r>
            <w:r>
              <w:rPr>
                <w:noProof/>
                <w:webHidden/>
              </w:rPr>
              <w:fldChar w:fldCharType="begin"/>
            </w:r>
            <w:r>
              <w:rPr>
                <w:noProof/>
                <w:webHidden/>
              </w:rPr>
              <w:instrText xml:space="preserve"> PAGEREF _Toc198549797 \h </w:instrText>
            </w:r>
            <w:r>
              <w:rPr>
                <w:noProof/>
                <w:webHidden/>
              </w:rPr>
            </w:r>
            <w:r>
              <w:rPr>
                <w:noProof/>
                <w:webHidden/>
              </w:rPr>
              <w:fldChar w:fldCharType="separate"/>
            </w:r>
            <w:r w:rsidR="00D864C4">
              <w:rPr>
                <w:noProof/>
                <w:webHidden/>
              </w:rPr>
              <w:t>6</w:t>
            </w:r>
            <w:r>
              <w:rPr>
                <w:noProof/>
                <w:webHidden/>
              </w:rPr>
              <w:fldChar w:fldCharType="end"/>
            </w:r>
          </w:hyperlink>
        </w:p>
        <w:p w14:paraId="0D46B5B0" w14:textId="7A4B9D2B" w:rsidR="00222BC3" w:rsidRDefault="00222BC3">
          <w:pPr>
            <w:pStyle w:val="TOC2"/>
            <w:rPr>
              <w:rFonts w:eastAsiaTheme="minorEastAsia"/>
              <w:noProof/>
              <w:kern w:val="2"/>
              <w:sz w:val="24"/>
              <w:szCs w:val="24"/>
              <w:lang w:eastAsia="en-GB"/>
              <w14:ligatures w14:val="standardContextual"/>
            </w:rPr>
          </w:pPr>
          <w:hyperlink w:anchor="_Toc198549798" w:history="1">
            <w:r w:rsidRPr="007172DC">
              <w:rPr>
                <w:rStyle w:val="Hyperlink"/>
                <w:noProof/>
              </w:rPr>
              <w:t>Sand and Gravel</w:t>
            </w:r>
            <w:r>
              <w:rPr>
                <w:noProof/>
                <w:webHidden/>
              </w:rPr>
              <w:tab/>
            </w:r>
            <w:r>
              <w:rPr>
                <w:noProof/>
                <w:webHidden/>
              </w:rPr>
              <w:fldChar w:fldCharType="begin"/>
            </w:r>
            <w:r>
              <w:rPr>
                <w:noProof/>
                <w:webHidden/>
              </w:rPr>
              <w:instrText xml:space="preserve"> PAGEREF _Toc198549798 \h </w:instrText>
            </w:r>
            <w:r>
              <w:rPr>
                <w:noProof/>
                <w:webHidden/>
              </w:rPr>
            </w:r>
            <w:r>
              <w:rPr>
                <w:noProof/>
                <w:webHidden/>
              </w:rPr>
              <w:fldChar w:fldCharType="separate"/>
            </w:r>
            <w:r w:rsidR="00D864C4">
              <w:rPr>
                <w:noProof/>
                <w:webHidden/>
              </w:rPr>
              <w:t>6</w:t>
            </w:r>
            <w:r>
              <w:rPr>
                <w:noProof/>
                <w:webHidden/>
              </w:rPr>
              <w:fldChar w:fldCharType="end"/>
            </w:r>
          </w:hyperlink>
        </w:p>
        <w:p w14:paraId="6CB4D95B" w14:textId="4B7E2E1C" w:rsidR="00222BC3" w:rsidRDefault="00222BC3">
          <w:pPr>
            <w:pStyle w:val="TOC2"/>
            <w:rPr>
              <w:rFonts w:eastAsiaTheme="minorEastAsia"/>
              <w:noProof/>
              <w:kern w:val="2"/>
              <w:sz w:val="24"/>
              <w:szCs w:val="24"/>
              <w:lang w:eastAsia="en-GB"/>
              <w14:ligatures w14:val="standardContextual"/>
            </w:rPr>
          </w:pPr>
          <w:hyperlink w:anchor="_Toc198549799" w:history="1">
            <w:r w:rsidRPr="007172DC">
              <w:rPr>
                <w:rStyle w:val="Hyperlink"/>
                <w:noProof/>
              </w:rPr>
              <w:t>Table 3. Sand and Gravel Aggregate sales 2013 to 2023 (Mt)</w:t>
            </w:r>
            <w:r>
              <w:rPr>
                <w:noProof/>
                <w:webHidden/>
              </w:rPr>
              <w:tab/>
            </w:r>
            <w:r>
              <w:rPr>
                <w:noProof/>
                <w:webHidden/>
              </w:rPr>
              <w:fldChar w:fldCharType="begin"/>
            </w:r>
            <w:r>
              <w:rPr>
                <w:noProof/>
                <w:webHidden/>
              </w:rPr>
              <w:instrText xml:space="preserve"> PAGEREF _Toc198549799 \h </w:instrText>
            </w:r>
            <w:r>
              <w:rPr>
                <w:noProof/>
                <w:webHidden/>
              </w:rPr>
            </w:r>
            <w:r>
              <w:rPr>
                <w:noProof/>
                <w:webHidden/>
              </w:rPr>
              <w:fldChar w:fldCharType="separate"/>
            </w:r>
            <w:r w:rsidR="00D864C4">
              <w:rPr>
                <w:noProof/>
                <w:webHidden/>
              </w:rPr>
              <w:t>6</w:t>
            </w:r>
            <w:r>
              <w:rPr>
                <w:noProof/>
                <w:webHidden/>
              </w:rPr>
              <w:fldChar w:fldCharType="end"/>
            </w:r>
          </w:hyperlink>
        </w:p>
        <w:p w14:paraId="71036FA4" w14:textId="3ACEFF14" w:rsidR="00222BC3" w:rsidRDefault="00222BC3">
          <w:pPr>
            <w:pStyle w:val="TOC2"/>
            <w:rPr>
              <w:rFonts w:eastAsiaTheme="minorEastAsia"/>
              <w:noProof/>
              <w:kern w:val="2"/>
              <w:sz w:val="24"/>
              <w:szCs w:val="24"/>
              <w:lang w:eastAsia="en-GB"/>
              <w14:ligatures w14:val="standardContextual"/>
            </w:rPr>
          </w:pPr>
          <w:hyperlink w:anchor="_Toc198549800" w:history="1">
            <w:r w:rsidRPr="007172DC">
              <w:rPr>
                <w:rStyle w:val="Hyperlink"/>
                <w:noProof/>
              </w:rPr>
              <w:t>Table 4. Reserves and Landbank of Aggregate Sand and Gravel</w:t>
            </w:r>
            <w:r>
              <w:rPr>
                <w:noProof/>
                <w:webHidden/>
              </w:rPr>
              <w:tab/>
            </w:r>
            <w:r>
              <w:rPr>
                <w:noProof/>
                <w:webHidden/>
              </w:rPr>
              <w:fldChar w:fldCharType="begin"/>
            </w:r>
            <w:r>
              <w:rPr>
                <w:noProof/>
                <w:webHidden/>
              </w:rPr>
              <w:instrText xml:space="preserve"> PAGEREF _Toc198549800 \h </w:instrText>
            </w:r>
            <w:r>
              <w:rPr>
                <w:noProof/>
                <w:webHidden/>
              </w:rPr>
            </w:r>
            <w:r>
              <w:rPr>
                <w:noProof/>
                <w:webHidden/>
              </w:rPr>
              <w:fldChar w:fldCharType="separate"/>
            </w:r>
            <w:r w:rsidR="00D864C4">
              <w:rPr>
                <w:noProof/>
                <w:webHidden/>
              </w:rPr>
              <w:t>7</w:t>
            </w:r>
            <w:r>
              <w:rPr>
                <w:noProof/>
                <w:webHidden/>
              </w:rPr>
              <w:fldChar w:fldCharType="end"/>
            </w:r>
          </w:hyperlink>
        </w:p>
        <w:p w14:paraId="2BDEE2E3" w14:textId="07EC1F57" w:rsidR="00222BC3" w:rsidRDefault="00222BC3">
          <w:pPr>
            <w:pStyle w:val="TOC2"/>
            <w:rPr>
              <w:rFonts w:eastAsiaTheme="minorEastAsia"/>
              <w:noProof/>
              <w:kern w:val="2"/>
              <w:sz w:val="24"/>
              <w:szCs w:val="24"/>
              <w:lang w:eastAsia="en-GB"/>
              <w14:ligatures w14:val="standardContextual"/>
            </w:rPr>
          </w:pPr>
          <w:hyperlink w:anchor="_Toc198549801" w:history="1">
            <w:r w:rsidRPr="007172DC">
              <w:rPr>
                <w:rStyle w:val="Hyperlink"/>
                <w:noProof/>
              </w:rPr>
              <w:t>New Permissions for Sand and Gravel Extraction 2023</w:t>
            </w:r>
            <w:r>
              <w:rPr>
                <w:noProof/>
                <w:webHidden/>
              </w:rPr>
              <w:tab/>
            </w:r>
            <w:r>
              <w:rPr>
                <w:noProof/>
                <w:webHidden/>
              </w:rPr>
              <w:fldChar w:fldCharType="begin"/>
            </w:r>
            <w:r>
              <w:rPr>
                <w:noProof/>
                <w:webHidden/>
              </w:rPr>
              <w:instrText xml:space="preserve"> PAGEREF _Toc198549801 \h </w:instrText>
            </w:r>
            <w:r>
              <w:rPr>
                <w:noProof/>
                <w:webHidden/>
              </w:rPr>
            </w:r>
            <w:r>
              <w:rPr>
                <w:noProof/>
                <w:webHidden/>
              </w:rPr>
              <w:fldChar w:fldCharType="separate"/>
            </w:r>
            <w:r w:rsidR="00D864C4">
              <w:rPr>
                <w:noProof/>
                <w:webHidden/>
              </w:rPr>
              <w:t>7</w:t>
            </w:r>
            <w:r>
              <w:rPr>
                <w:noProof/>
                <w:webHidden/>
              </w:rPr>
              <w:fldChar w:fldCharType="end"/>
            </w:r>
          </w:hyperlink>
        </w:p>
        <w:p w14:paraId="20B2DF21" w14:textId="7290CDDB" w:rsidR="00222BC3" w:rsidRDefault="00222BC3">
          <w:pPr>
            <w:pStyle w:val="TOC2"/>
            <w:rPr>
              <w:rFonts w:eastAsiaTheme="minorEastAsia"/>
              <w:noProof/>
              <w:kern w:val="2"/>
              <w:sz w:val="24"/>
              <w:szCs w:val="24"/>
              <w:lang w:eastAsia="en-GB"/>
              <w14:ligatures w14:val="standardContextual"/>
            </w:rPr>
          </w:pPr>
          <w:hyperlink w:anchor="_Toc198549802" w:history="1">
            <w:r w:rsidRPr="007172DC">
              <w:rPr>
                <w:rStyle w:val="Hyperlink"/>
                <w:noProof/>
              </w:rPr>
              <w:t>Table 5. New Permissions (Sand and Gravel) 2023</w:t>
            </w:r>
            <w:r>
              <w:rPr>
                <w:noProof/>
                <w:webHidden/>
              </w:rPr>
              <w:tab/>
            </w:r>
            <w:r>
              <w:rPr>
                <w:noProof/>
                <w:webHidden/>
              </w:rPr>
              <w:fldChar w:fldCharType="begin"/>
            </w:r>
            <w:r>
              <w:rPr>
                <w:noProof/>
                <w:webHidden/>
              </w:rPr>
              <w:instrText xml:space="preserve"> PAGEREF _Toc198549802 \h </w:instrText>
            </w:r>
            <w:r>
              <w:rPr>
                <w:noProof/>
                <w:webHidden/>
              </w:rPr>
            </w:r>
            <w:r>
              <w:rPr>
                <w:noProof/>
                <w:webHidden/>
              </w:rPr>
              <w:fldChar w:fldCharType="separate"/>
            </w:r>
            <w:r w:rsidR="00D864C4">
              <w:rPr>
                <w:noProof/>
                <w:webHidden/>
              </w:rPr>
              <w:t>7</w:t>
            </w:r>
            <w:r>
              <w:rPr>
                <w:noProof/>
                <w:webHidden/>
              </w:rPr>
              <w:fldChar w:fldCharType="end"/>
            </w:r>
          </w:hyperlink>
        </w:p>
        <w:p w14:paraId="0926C577" w14:textId="16B682F7" w:rsidR="00222BC3" w:rsidRDefault="00222BC3">
          <w:pPr>
            <w:pStyle w:val="TOC2"/>
            <w:rPr>
              <w:rFonts w:eastAsiaTheme="minorEastAsia"/>
              <w:noProof/>
              <w:kern w:val="2"/>
              <w:sz w:val="24"/>
              <w:szCs w:val="24"/>
              <w:lang w:eastAsia="en-GB"/>
              <w14:ligatures w14:val="standardContextual"/>
            </w:rPr>
          </w:pPr>
          <w:hyperlink w:anchor="_Toc198549803" w:history="1">
            <w:r w:rsidRPr="007172DC">
              <w:rPr>
                <w:rStyle w:val="Hyperlink"/>
                <w:noProof/>
              </w:rPr>
              <w:t>Wharves and Rail Ports</w:t>
            </w:r>
            <w:r>
              <w:rPr>
                <w:noProof/>
                <w:webHidden/>
              </w:rPr>
              <w:tab/>
            </w:r>
            <w:r>
              <w:rPr>
                <w:noProof/>
                <w:webHidden/>
              </w:rPr>
              <w:fldChar w:fldCharType="begin"/>
            </w:r>
            <w:r>
              <w:rPr>
                <w:noProof/>
                <w:webHidden/>
              </w:rPr>
              <w:instrText xml:space="preserve"> PAGEREF _Toc198549803 \h </w:instrText>
            </w:r>
            <w:r>
              <w:rPr>
                <w:noProof/>
                <w:webHidden/>
              </w:rPr>
            </w:r>
            <w:r>
              <w:rPr>
                <w:noProof/>
                <w:webHidden/>
              </w:rPr>
              <w:fldChar w:fldCharType="separate"/>
            </w:r>
            <w:r w:rsidR="00D864C4">
              <w:rPr>
                <w:noProof/>
                <w:webHidden/>
              </w:rPr>
              <w:t>8</w:t>
            </w:r>
            <w:r>
              <w:rPr>
                <w:noProof/>
                <w:webHidden/>
              </w:rPr>
              <w:fldChar w:fldCharType="end"/>
            </w:r>
          </w:hyperlink>
        </w:p>
        <w:p w14:paraId="2F721CDB" w14:textId="70465C65" w:rsidR="00222BC3" w:rsidRDefault="00222BC3">
          <w:pPr>
            <w:pStyle w:val="TOC2"/>
            <w:rPr>
              <w:rFonts w:eastAsiaTheme="minorEastAsia"/>
              <w:noProof/>
              <w:kern w:val="2"/>
              <w:sz w:val="24"/>
              <w:szCs w:val="24"/>
              <w:lang w:eastAsia="en-GB"/>
              <w14:ligatures w14:val="standardContextual"/>
            </w:rPr>
          </w:pPr>
          <w:hyperlink w:anchor="_Toc198549804" w:history="1">
            <w:r w:rsidRPr="007172DC">
              <w:rPr>
                <w:rStyle w:val="Hyperlink"/>
                <w:noProof/>
              </w:rPr>
              <w:t>Crushed Rock (Limestone Aggregate)</w:t>
            </w:r>
            <w:r>
              <w:rPr>
                <w:noProof/>
                <w:webHidden/>
              </w:rPr>
              <w:tab/>
            </w:r>
            <w:r>
              <w:rPr>
                <w:noProof/>
                <w:webHidden/>
              </w:rPr>
              <w:fldChar w:fldCharType="begin"/>
            </w:r>
            <w:r>
              <w:rPr>
                <w:noProof/>
                <w:webHidden/>
              </w:rPr>
              <w:instrText xml:space="preserve"> PAGEREF _Toc198549804 \h </w:instrText>
            </w:r>
            <w:r>
              <w:rPr>
                <w:noProof/>
                <w:webHidden/>
              </w:rPr>
            </w:r>
            <w:r>
              <w:rPr>
                <w:noProof/>
                <w:webHidden/>
              </w:rPr>
              <w:fldChar w:fldCharType="separate"/>
            </w:r>
            <w:r w:rsidR="00D864C4">
              <w:rPr>
                <w:noProof/>
                <w:webHidden/>
              </w:rPr>
              <w:t>8</w:t>
            </w:r>
            <w:r>
              <w:rPr>
                <w:noProof/>
                <w:webHidden/>
              </w:rPr>
              <w:fldChar w:fldCharType="end"/>
            </w:r>
          </w:hyperlink>
        </w:p>
        <w:p w14:paraId="47C9C0FE" w14:textId="5D4A8832" w:rsidR="00222BC3" w:rsidRDefault="00222BC3">
          <w:pPr>
            <w:pStyle w:val="TOC2"/>
            <w:rPr>
              <w:rFonts w:eastAsiaTheme="minorEastAsia"/>
              <w:noProof/>
              <w:kern w:val="2"/>
              <w:sz w:val="24"/>
              <w:szCs w:val="24"/>
              <w:lang w:eastAsia="en-GB"/>
              <w14:ligatures w14:val="standardContextual"/>
            </w:rPr>
          </w:pPr>
          <w:hyperlink w:anchor="_Toc198549805" w:history="1">
            <w:r w:rsidRPr="007172DC">
              <w:rPr>
                <w:rStyle w:val="Hyperlink"/>
                <w:noProof/>
              </w:rPr>
              <w:t>Table 6. Crushed Rock Aggregate Sales 2013 to 2023 (Mt)</w:t>
            </w:r>
            <w:r>
              <w:rPr>
                <w:noProof/>
                <w:webHidden/>
              </w:rPr>
              <w:tab/>
            </w:r>
            <w:r>
              <w:rPr>
                <w:noProof/>
                <w:webHidden/>
              </w:rPr>
              <w:fldChar w:fldCharType="begin"/>
            </w:r>
            <w:r>
              <w:rPr>
                <w:noProof/>
                <w:webHidden/>
              </w:rPr>
              <w:instrText xml:space="preserve"> PAGEREF _Toc198549805 \h </w:instrText>
            </w:r>
            <w:r>
              <w:rPr>
                <w:noProof/>
                <w:webHidden/>
              </w:rPr>
            </w:r>
            <w:r>
              <w:rPr>
                <w:noProof/>
                <w:webHidden/>
              </w:rPr>
              <w:fldChar w:fldCharType="separate"/>
            </w:r>
            <w:r w:rsidR="00D864C4">
              <w:rPr>
                <w:noProof/>
                <w:webHidden/>
              </w:rPr>
              <w:t>8</w:t>
            </w:r>
            <w:r>
              <w:rPr>
                <w:noProof/>
                <w:webHidden/>
              </w:rPr>
              <w:fldChar w:fldCharType="end"/>
            </w:r>
          </w:hyperlink>
        </w:p>
        <w:p w14:paraId="21FDBC66" w14:textId="394A600A" w:rsidR="00222BC3" w:rsidRDefault="00222BC3">
          <w:pPr>
            <w:pStyle w:val="TOC2"/>
            <w:rPr>
              <w:rFonts w:eastAsiaTheme="minorEastAsia"/>
              <w:noProof/>
              <w:kern w:val="2"/>
              <w:sz w:val="24"/>
              <w:szCs w:val="24"/>
              <w:lang w:eastAsia="en-GB"/>
              <w14:ligatures w14:val="standardContextual"/>
            </w:rPr>
          </w:pPr>
          <w:hyperlink w:anchor="_Toc198549806" w:history="1">
            <w:r w:rsidRPr="007172DC">
              <w:rPr>
                <w:rStyle w:val="Hyperlink"/>
                <w:noProof/>
              </w:rPr>
              <w:t>Table 7. Reserves and Landbank of Crushed Rock for Aggregate Use</w:t>
            </w:r>
            <w:r>
              <w:rPr>
                <w:noProof/>
                <w:webHidden/>
              </w:rPr>
              <w:tab/>
            </w:r>
            <w:r>
              <w:rPr>
                <w:noProof/>
                <w:webHidden/>
              </w:rPr>
              <w:fldChar w:fldCharType="begin"/>
            </w:r>
            <w:r>
              <w:rPr>
                <w:noProof/>
                <w:webHidden/>
              </w:rPr>
              <w:instrText xml:space="preserve"> PAGEREF _Toc198549806 \h </w:instrText>
            </w:r>
            <w:r>
              <w:rPr>
                <w:noProof/>
                <w:webHidden/>
              </w:rPr>
            </w:r>
            <w:r>
              <w:rPr>
                <w:noProof/>
                <w:webHidden/>
              </w:rPr>
              <w:fldChar w:fldCharType="separate"/>
            </w:r>
            <w:r w:rsidR="00D864C4">
              <w:rPr>
                <w:noProof/>
                <w:webHidden/>
              </w:rPr>
              <w:t>8</w:t>
            </w:r>
            <w:r>
              <w:rPr>
                <w:noProof/>
                <w:webHidden/>
              </w:rPr>
              <w:fldChar w:fldCharType="end"/>
            </w:r>
          </w:hyperlink>
        </w:p>
        <w:p w14:paraId="1E314CA7" w14:textId="11CB6B6C" w:rsidR="00222BC3" w:rsidRDefault="00222BC3">
          <w:pPr>
            <w:pStyle w:val="TOC2"/>
            <w:rPr>
              <w:rFonts w:eastAsiaTheme="minorEastAsia"/>
              <w:noProof/>
              <w:kern w:val="2"/>
              <w:sz w:val="24"/>
              <w:szCs w:val="24"/>
              <w:lang w:eastAsia="en-GB"/>
              <w14:ligatures w14:val="standardContextual"/>
            </w:rPr>
          </w:pPr>
          <w:hyperlink w:anchor="_Toc198549807" w:history="1">
            <w:r w:rsidRPr="007172DC">
              <w:rPr>
                <w:rStyle w:val="Hyperlink"/>
                <w:noProof/>
              </w:rPr>
              <w:t>Table 8. New Permissions for Quarrying Crushed Rock Aggregate 2023</w:t>
            </w:r>
            <w:r>
              <w:rPr>
                <w:noProof/>
                <w:webHidden/>
              </w:rPr>
              <w:tab/>
            </w:r>
            <w:r>
              <w:rPr>
                <w:noProof/>
                <w:webHidden/>
              </w:rPr>
              <w:fldChar w:fldCharType="begin"/>
            </w:r>
            <w:r>
              <w:rPr>
                <w:noProof/>
                <w:webHidden/>
              </w:rPr>
              <w:instrText xml:space="preserve"> PAGEREF _Toc198549807 \h </w:instrText>
            </w:r>
            <w:r>
              <w:rPr>
                <w:noProof/>
                <w:webHidden/>
              </w:rPr>
            </w:r>
            <w:r>
              <w:rPr>
                <w:noProof/>
                <w:webHidden/>
              </w:rPr>
              <w:fldChar w:fldCharType="separate"/>
            </w:r>
            <w:r w:rsidR="00D864C4">
              <w:rPr>
                <w:noProof/>
                <w:webHidden/>
              </w:rPr>
              <w:t>9</w:t>
            </w:r>
            <w:r>
              <w:rPr>
                <w:noProof/>
                <w:webHidden/>
              </w:rPr>
              <w:fldChar w:fldCharType="end"/>
            </w:r>
          </w:hyperlink>
        </w:p>
        <w:p w14:paraId="645673F7" w14:textId="39417C4A" w:rsidR="00222BC3" w:rsidRDefault="00222BC3">
          <w:pPr>
            <w:pStyle w:val="TOC2"/>
            <w:rPr>
              <w:rFonts w:eastAsiaTheme="minorEastAsia"/>
              <w:noProof/>
              <w:kern w:val="2"/>
              <w:sz w:val="24"/>
              <w:szCs w:val="24"/>
              <w:lang w:eastAsia="en-GB"/>
              <w14:ligatures w14:val="standardContextual"/>
            </w:rPr>
          </w:pPr>
          <w:hyperlink w:anchor="_Toc198549808" w:history="1">
            <w:r w:rsidRPr="007172DC">
              <w:rPr>
                <w:rStyle w:val="Hyperlink"/>
                <w:noProof/>
              </w:rPr>
              <w:t>Wharves and Rail Ports</w:t>
            </w:r>
            <w:r>
              <w:rPr>
                <w:noProof/>
                <w:webHidden/>
              </w:rPr>
              <w:tab/>
            </w:r>
            <w:r>
              <w:rPr>
                <w:noProof/>
                <w:webHidden/>
              </w:rPr>
              <w:fldChar w:fldCharType="begin"/>
            </w:r>
            <w:r>
              <w:rPr>
                <w:noProof/>
                <w:webHidden/>
              </w:rPr>
              <w:instrText xml:space="preserve"> PAGEREF _Toc198549808 \h </w:instrText>
            </w:r>
            <w:r>
              <w:rPr>
                <w:noProof/>
                <w:webHidden/>
              </w:rPr>
            </w:r>
            <w:r>
              <w:rPr>
                <w:noProof/>
                <w:webHidden/>
              </w:rPr>
              <w:fldChar w:fldCharType="separate"/>
            </w:r>
            <w:r w:rsidR="00D864C4">
              <w:rPr>
                <w:noProof/>
                <w:webHidden/>
              </w:rPr>
              <w:t>9</w:t>
            </w:r>
            <w:r>
              <w:rPr>
                <w:noProof/>
                <w:webHidden/>
              </w:rPr>
              <w:fldChar w:fldCharType="end"/>
            </w:r>
          </w:hyperlink>
        </w:p>
        <w:p w14:paraId="63ABA7A4" w14:textId="52B30865" w:rsidR="00222BC3" w:rsidRDefault="00222BC3">
          <w:pPr>
            <w:pStyle w:val="TOC2"/>
            <w:rPr>
              <w:rFonts w:eastAsiaTheme="minorEastAsia"/>
              <w:noProof/>
              <w:kern w:val="2"/>
              <w:sz w:val="24"/>
              <w:szCs w:val="24"/>
              <w:lang w:eastAsia="en-GB"/>
              <w14:ligatures w14:val="standardContextual"/>
            </w:rPr>
          </w:pPr>
          <w:hyperlink w:anchor="_Toc198549809" w:history="1">
            <w:r w:rsidRPr="007172DC">
              <w:rPr>
                <w:rStyle w:val="Hyperlink"/>
                <w:noProof/>
              </w:rPr>
              <w:t>Security of Supply</w:t>
            </w:r>
            <w:r>
              <w:rPr>
                <w:noProof/>
                <w:webHidden/>
              </w:rPr>
              <w:tab/>
            </w:r>
            <w:r>
              <w:rPr>
                <w:noProof/>
                <w:webHidden/>
              </w:rPr>
              <w:fldChar w:fldCharType="begin"/>
            </w:r>
            <w:r>
              <w:rPr>
                <w:noProof/>
                <w:webHidden/>
              </w:rPr>
              <w:instrText xml:space="preserve"> PAGEREF _Toc198549809 \h </w:instrText>
            </w:r>
            <w:r>
              <w:rPr>
                <w:noProof/>
                <w:webHidden/>
              </w:rPr>
            </w:r>
            <w:r>
              <w:rPr>
                <w:noProof/>
                <w:webHidden/>
              </w:rPr>
              <w:fldChar w:fldCharType="separate"/>
            </w:r>
            <w:r w:rsidR="00D864C4">
              <w:rPr>
                <w:noProof/>
                <w:webHidden/>
              </w:rPr>
              <w:t>9</w:t>
            </w:r>
            <w:r>
              <w:rPr>
                <w:noProof/>
                <w:webHidden/>
              </w:rPr>
              <w:fldChar w:fldCharType="end"/>
            </w:r>
          </w:hyperlink>
        </w:p>
        <w:p w14:paraId="4B4B2168" w14:textId="2EEDC9ED" w:rsidR="00222BC3" w:rsidRDefault="00222BC3">
          <w:pPr>
            <w:pStyle w:val="TOC2"/>
            <w:rPr>
              <w:rFonts w:eastAsiaTheme="minorEastAsia"/>
              <w:noProof/>
              <w:kern w:val="2"/>
              <w:sz w:val="24"/>
              <w:szCs w:val="24"/>
              <w:lang w:eastAsia="en-GB"/>
              <w14:ligatures w14:val="standardContextual"/>
            </w:rPr>
          </w:pPr>
          <w:hyperlink w:anchor="_Toc198549810" w:history="1">
            <w:r w:rsidRPr="007172DC">
              <w:rPr>
                <w:rStyle w:val="Hyperlink"/>
                <w:noProof/>
              </w:rPr>
              <w:t>Secondary and Recycled Aggregate</w:t>
            </w:r>
            <w:r>
              <w:rPr>
                <w:noProof/>
                <w:webHidden/>
              </w:rPr>
              <w:tab/>
            </w:r>
            <w:r>
              <w:rPr>
                <w:noProof/>
                <w:webHidden/>
              </w:rPr>
              <w:fldChar w:fldCharType="begin"/>
            </w:r>
            <w:r>
              <w:rPr>
                <w:noProof/>
                <w:webHidden/>
              </w:rPr>
              <w:instrText xml:space="preserve"> PAGEREF _Toc198549810 \h </w:instrText>
            </w:r>
            <w:r>
              <w:rPr>
                <w:noProof/>
                <w:webHidden/>
              </w:rPr>
            </w:r>
            <w:r>
              <w:rPr>
                <w:noProof/>
                <w:webHidden/>
              </w:rPr>
              <w:fldChar w:fldCharType="separate"/>
            </w:r>
            <w:r w:rsidR="00D864C4">
              <w:rPr>
                <w:noProof/>
                <w:webHidden/>
              </w:rPr>
              <w:t>10</w:t>
            </w:r>
            <w:r>
              <w:rPr>
                <w:noProof/>
                <w:webHidden/>
              </w:rPr>
              <w:fldChar w:fldCharType="end"/>
            </w:r>
          </w:hyperlink>
        </w:p>
        <w:p w14:paraId="1C4D8307" w14:textId="02EE0DCD" w:rsidR="00222BC3" w:rsidRDefault="00222BC3">
          <w:pPr>
            <w:pStyle w:val="TOC2"/>
            <w:rPr>
              <w:rFonts w:eastAsiaTheme="minorEastAsia"/>
              <w:noProof/>
              <w:kern w:val="2"/>
              <w:sz w:val="24"/>
              <w:szCs w:val="24"/>
              <w:lang w:eastAsia="en-GB"/>
              <w14:ligatures w14:val="standardContextual"/>
            </w:rPr>
          </w:pPr>
          <w:hyperlink w:anchor="_Toc198549811" w:history="1">
            <w:r w:rsidRPr="007172DC">
              <w:rPr>
                <w:rStyle w:val="Hyperlink"/>
                <w:noProof/>
              </w:rPr>
              <w:t>Table 9. Doncaster and Rotherham CD&amp;E / Mineral Waste fate 2023</w:t>
            </w:r>
            <w:r>
              <w:rPr>
                <w:noProof/>
                <w:webHidden/>
              </w:rPr>
              <w:tab/>
            </w:r>
            <w:r>
              <w:rPr>
                <w:noProof/>
                <w:webHidden/>
              </w:rPr>
              <w:fldChar w:fldCharType="begin"/>
            </w:r>
            <w:r>
              <w:rPr>
                <w:noProof/>
                <w:webHidden/>
              </w:rPr>
              <w:instrText xml:space="preserve"> PAGEREF _Toc198549811 \h </w:instrText>
            </w:r>
            <w:r>
              <w:rPr>
                <w:noProof/>
                <w:webHidden/>
              </w:rPr>
            </w:r>
            <w:r>
              <w:rPr>
                <w:noProof/>
                <w:webHidden/>
              </w:rPr>
              <w:fldChar w:fldCharType="separate"/>
            </w:r>
            <w:r w:rsidR="00D864C4">
              <w:rPr>
                <w:noProof/>
                <w:webHidden/>
              </w:rPr>
              <w:t>12</w:t>
            </w:r>
            <w:r>
              <w:rPr>
                <w:noProof/>
                <w:webHidden/>
              </w:rPr>
              <w:fldChar w:fldCharType="end"/>
            </w:r>
          </w:hyperlink>
        </w:p>
        <w:p w14:paraId="64A85AC3" w14:textId="296066B7" w:rsidR="00222BC3" w:rsidRDefault="00222BC3">
          <w:pPr>
            <w:pStyle w:val="TOC2"/>
            <w:rPr>
              <w:rFonts w:eastAsiaTheme="minorEastAsia"/>
              <w:noProof/>
              <w:kern w:val="2"/>
              <w:sz w:val="24"/>
              <w:szCs w:val="24"/>
              <w:lang w:eastAsia="en-GB"/>
              <w14:ligatures w14:val="standardContextual"/>
            </w:rPr>
          </w:pPr>
          <w:hyperlink w:anchor="_Toc198549812" w:history="1">
            <w:r w:rsidRPr="007172DC">
              <w:rPr>
                <w:rStyle w:val="Hyperlink"/>
                <w:noProof/>
              </w:rPr>
              <w:t>Secondary and Recycled Aggregate Infrastructure</w:t>
            </w:r>
            <w:r>
              <w:rPr>
                <w:noProof/>
                <w:webHidden/>
              </w:rPr>
              <w:tab/>
            </w:r>
            <w:r>
              <w:rPr>
                <w:noProof/>
                <w:webHidden/>
              </w:rPr>
              <w:fldChar w:fldCharType="begin"/>
            </w:r>
            <w:r>
              <w:rPr>
                <w:noProof/>
                <w:webHidden/>
              </w:rPr>
              <w:instrText xml:space="preserve"> PAGEREF _Toc198549812 \h </w:instrText>
            </w:r>
            <w:r>
              <w:rPr>
                <w:noProof/>
                <w:webHidden/>
              </w:rPr>
            </w:r>
            <w:r>
              <w:rPr>
                <w:noProof/>
                <w:webHidden/>
              </w:rPr>
              <w:fldChar w:fldCharType="separate"/>
            </w:r>
            <w:r w:rsidR="00D864C4">
              <w:rPr>
                <w:noProof/>
                <w:webHidden/>
              </w:rPr>
              <w:t>12</w:t>
            </w:r>
            <w:r>
              <w:rPr>
                <w:noProof/>
                <w:webHidden/>
              </w:rPr>
              <w:fldChar w:fldCharType="end"/>
            </w:r>
          </w:hyperlink>
        </w:p>
        <w:p w14:paraId="29AEE606" w14:textId="3233E773" w:rsidR="00222BC3" w:rsidRDefault="00222BC3">
          <w:pPr>
            <w:pStyle w:val="TOC2"/>
            <w:rPr>
              <w:rFonts w:eastAsiaTheme="minorEastAsia"/>
              <w:noProof/>
              <w:kern w:val="2"/>
              <w:sz w:val="24"/>
              <w:szCs w:val="24"/>
              <w:lang w:eastAsia="en-GB"/>
              <w14:ligatures w14:val="standardContextual"/>
            </w:rPr>
          </w:pPr>
          <w:hyperlink w:anchor="_Toc198549813" w:history="1">
            <w:r w:rsidRPr="007172DC">
              <w:rPr>
                <w:rStyle w:val="Hyperlink"/>
                <w:noProof/>
              </w:rPr>
              <w:t>Ancillary Minerals Infrastructure</w:t>
            </w:r>
            <w:r>
              <w:rPr>
                <w:noProof/>
                <w:webHidden/>
              </w:rPr>
              <w:tab/>
            </w:r>
            <w:r>
              <w:rPr>
                <w:noProof/>
                <w:webHidden/>
              </w:rPr>
              <w:fldChar w:fldCharType="begin"/>
            </w:r>
            <w:r>
              <w:rPr>
                <w:noProof/>
                <w:webHidden/>
              </w:rPr>
              <w:instrText xml:space="preserve"> PAGEREF _Toc198549813 \h </w:instrText>
            </w:r>
            <w:r>
              <w:rPr>
                <w:noProof/>
                <w:webHidden/>
              </w:rPr>
            </w:r>
            <w:r>
              <w:rPr>
                <w:noProof/>
                <w:webHidden/>
              </w:rPr>
              <w:fldChar w:fldCharType="separate"/>
            </w:r>
            <w:r w:rsidR="00D864C4">
              <w:rPr>
                <w:noProof/>
                <w:webHidden/>
              </w:rPr>
              <w:t>12</w:t>
            </w:r>
            <w:r>
              <w:rPr>
                <w:noProof/>
                <w:webHidden/>
              </w:rPr>
              <w:fldChar w:fldCharType="end"/>
            </w:r>
          </w:hyperlink>
        </w:p>
        <w:p w14:paraId="35BB3F55" w14:textId="00EBC58A" w:rsidR="00222BC3" w:rsidRDefault="00222BC3">
          <w:pPr>
            <w:pStyle w:val="TOC2"/>
            <w:rPr>
              <w:rFonts w:eastAsiaTheme="minorEastAsia"/>
              <w:noProof/>
              <w:kern w:val="2"/>
              <w:sz w:val="24"/>
              <w:szCs w:val="24"/>
              <w:lang w:eastAsia="en-GB"/>
              <w14:ligatures w14:val="standardContextual"/>
            </w:rPr>
          </w:pPr>
          <w:hyperlink w:anchor="_Toc198549814" w:history="1">
            <w:r w:rsidRPr="007172DC">
              <w:rPr>
                <w:rStyle w:val="Hyperlink"/>
                <w:noProof/>
              </w:rPr>
              <w:t>Table 10. Asphalt Plants</w:t>
            </w:r>
            <w:r>
              <w:rPr>
                <w:noProof/>
                <w:webHidden/>
              </w:rPr>
              <w:tab/>
            </w:r>
            <w:r>
              <w:rPr>
                <w:noProof/>
                <w:webHidden/>
              </w:rPr>
              <w:fldChar w:fldCharType="begin"/>
            </w:r>
            <w:r>
              <w:rPr>
                <w:noProof/>
                <w:webHidden/>
              </w:rPr>
              <w:instrText xml:space="preserve"> PAGEREF _Toc198549814 \h </w:instrText>
            </w:r>
            <w:r>
              <w:rPr>
                <w:noProof/>
                <w:webHidden/>
              </w:rPr>
            </w:r>
            <w:r>
              <w:rPr>
                <w:noProof/>
                <w:webHidden/>
              </w:rPr>
              <w:fldChar w:fldCharType="separate"/>
            </w:r>
            <w:r w:rsidR="00D864C4">
              <w:rPr>
                <w:noProof/>
                <w:webHidden/>
              </w:rPr>
              <w:t>12</w:t>
            </w:r>
            <w:r>
              <w:rPr>
                <w:noProof/>
                <w:webHidden/>
              </w:rPr>
              <w:fldChar w:fldCharType="end"/>
            </w:r>
          </w:hyperlink>
        </w:p>
        <w:p w14:paraId="6B7980D5" w14:textId="314A048D" w:rsidR="00222BC3" w:rsidRDefault="00222BC3">
          <w:pPr>
            <w:pStyle w:val="TOC2"/>
            <w:rPr>
              <w:rFonts w:eastAsiaTheme="minorEastAsia"/>
              <w:noProof/>
              <w:kern w:val="2"/>
              <w:sz w:val="24"/>
              <w:szCs w:val="24"/>
              <w:lang w:eastAsia="en-GB"/>
              <w14:ligatures w14:val="standardContextual"/>
            </w:rPr>
          </w:pPr>
          <w:hyperlink w:anchor="_Toc198549815" w:history="1">
            <w:r w:rsidRPr="007172DC">
              <w:rPr>
                <w:rStyle w:val="Hyperlink"/>
                <w:noProof/>
              </w:rPr>
              <w:t>Table 11. Ancillary Minerals Infrastructure</w:t>
            </w:r>
            <w:r>
              <w:rPr>
                <w:noProof/>
                <w:webHidden/>
              </w:rPr>
              <w:tab/>
            </w:r>
            <w:r>
              <w:rPr>
                <w:noProof/>
                <w:webHidden/>
              </w:rPr>
              <w:fldChar w:fldCharType="begin"/>
            </w:r>
            <w:r>
              <w:rPr>
                <w:noProof/>
                <w:webHidden/>
              </w:rPr>
              <w:instrText xml:space="preserve"> PAGEREF _Toc198549815 \h </w:instrText>
            </w:r>
            <w:r>
              <w:rPr>
                <w:noProof/>
                <w:webHidden/>
              </w:rPr>
            </w:r>
            <w:r>
              <w:rPr>
                <w:noProof/>
                <w:webHidden/>
              </w:rPr>
              <w:fldChar w:fldCharType="separate"/>
            </w:r>
            <w:r w:rsidR="00D864C4">
              <w:rPr>
                <w:noProof/>
                <w:webHidden/>
              </w:rPr>
              <w:t>12</w:t>
            </w:r>
            <w:r>
              <w:rPr>
                <w:noProof/>
                <w:webHidden/>
              </w:rPr>
              <w:fldChar w:fldCharType="end"/>
            </w:r>
          </w:hyperlink>
        </w:p>
        <w:p w14:paraId="2F506D3B" w14:textId="52FD2A0A" w:rsidR="00222BC3" w:rsidRDefault="00222BC3">
          <w:pPr>
            <w:pStyle w:val="TOC2"/>
            <w:rPr>
              <w:rFonts w:eastAsiaTheme="minorEastAsia"/>
              <w:noProof/>
              <w:kern w:val="2"/>
              <w:sz w:val="24"/>
              <w:szCs w:val="24"/>
              <w:lang w:eastAsia="en-GB"/>
              <w14:ligatures w14:val="standardContextual"/>
            </w:rPr>
          </w:pPr>
          <w:hyperlink w:anchor="_Toc198549816" w:history="1">
            <w:r w:rsidRPr="007172DC">
              <w:rPr>
                <w:rStyle w:val="Hyperlink"/>
                <w:noProof/>
              </w:rPr>
              <w:t>Road Network</w:t>
            </w:r>
            <w:r>
              <w:rPr>
                <w:noProof/>
                <w:webHidden/>
              </w:rPr>
              <w:tab/>
            </w:r>
            <w:r>
              <w:rPr>
                <w:noProof/>
                <w:webHidden/>
              </w:rPr>
              <w:fldChar w:fldCharType="begin"/>
            </w:r>
            <w:r>
              <w:rPr>
                <w:noProof/>
                <w:webHidden/>
              </w:rPr>
              <w:instrText xml:space="preserve"> PAGEREF _Toc198549816 \h </w:instrText>
            </w:r>
            <w:r>
              <w:rPr>
                <w:noProof/>
                <w:webHidden/>
              </w:rPr>
            </w:r>
            <w:r>
              <w:rPr>
                <w:noProof/>
                <w:webHidden/>
              </w:rPr>
              <w:fldChar w:fldCharType="separate"/>
            </w:r>
            <w:r w:rsidR="00D864C4">
              <w:rPr>
                <w:noProof/>
                <w:webHidden/>
              </w:rPr>
              <w:t>13</w:t>
            </w:r>
            <w:r>
              <w:rPr>
                <w:noProof/>
                <w:webHidden/>
              </w:rPr>
              <w:fldChar w:fldCharType="end"/>
            </w:r>
          </w:hyperlink>
        </w:p>
        <w:p w14:paraId="3B7B4208" w14:textId="787E352D" w:rsidR="00222BC3" w:rsidRDefault="00222BC3">
          <w:pPr>
            <w:pStyle w:val="TOC2"/>
            <w:rPr>
              <w:rFonts w:eastAsiaTheme="minorEastAsia"/>
              <w:noProof/>
              <w:kern w:val="2"/>
              <w:sz w:val="24"/>
              <w:szCs w:val="24"/>
              <w:lang w:eastAsia="en-GB"/>
              <w14:ligatures w14:val="standardContextual"/>
            </w:rPr>
          </w:pPr>
          <w:hyperlink w:anchor="_Toc198549817" w:history="1">
            <w:r w:rsidRPr="007172DC">
              <w:rPr>
                <w:rStyle w:val="Hyperlink"/>
                <w:noProof/>
              </w:rPr>
              <w:t>Traffic Issues (Minerals Development)</w:t>
            </w:r>
            <w:r>
              <w:rPr>
                <w:noProof/>
                <w:webHidden/>
              </w:rPr>
              <w:tab/>
            </w:r>
            <w:r>
              <w:rPr>
                <w:noProof/>
                <w:webHidden/>
              </w:rPr>
              <w:fldChar w:fldCharType="begin"/>
            </w:r>
            <w:r>
              <w:rPr>
                <w:noProof/>
                <w:webHidden/>
              </w:rPr>
              <w:instrText xml:space="preserve"> PAGEREF _Toc198549817 \h </w:instrText>
            </w:r>
            <w:r>
              <w:rPr>
                <w:noProof/>
                <w:webHidden/>
              </w:rPr>
            </w:r>
            <w:r>
              <w:rPr>
                <w:noProof/>
                <w:webHidden/>
              </w:rPr>
              <w:fldChar w:fldCharType="separate"/>
            </w:r>
            <w:r w:rsidR="00D864C4">
              <w:rPr>
                <w:noProof/>
                <w:webHidden/>
              </w:rPr>
              <w:t>14</w:t>
            </w:r>
            <w:r>
              <w:rPr>
                <w:noProof/>
                <w:webHidden/>
              </w:rPr>
              <w:fldChar w:fldCharType="end"/>
            </w:r>
          </w:hyperlink>
        </w:p>
        <w:p w14:paraId="02A0FF55" w14:textId="31AC6221" w:rsidR="00222BC3" w:rsidRDefault="00222BC3">
          <w:pPr>
            <w:pStyle w:val="TOC2"/>
            <w:rPr>
              <w:rFonts w:eastAsiaTheme="minorEastAsia"/>
              <w:noProof/>
              <w:kern w:val="2"/>
              <w:sz w:val="24"/>
              <w:szCs w:val="24"/>
              <w:lang w:eastAsia="en-GB"/>
              <w14:ligatures w14:val="standardContextual"/>
            </w:rPr>
          </w:pPr>
          <w:hyperlink w:anchor="_Toc198549818" w:history="1">
            <w:r w:rsidRPr="007172DC">
              <w:rPr>
                <w:rStyle w:val="Hyperlink"/>
                <w:noProof/>
              </w:rPr>
              <w:t>Marine Aggregates</w:t>
            </w:r>
            <w:r>
              <w:rPr>
                <w:noProof/>
                <w:webHidden/>
              </w:rPr>
              <w:tab/>
            </w:r>
            <w:r>
              <w:rPr>
                <w:noProof/>
                <w:webHidden/>
              </w:rPr>
              <w:fldChar w:fldCharType="begin"/>
            </w:r>
            <w:r>
              <w:rPr>
                <w:noProof/>
                <w:webHidden/>
              </w:rPr>
              <w:instrText xml:space="preserve"> PAGEREF _Toc198549818 \h </w:instrText>
            </w:r>
            <w:r>
              <w:rPr>
                <w:noProof/>
                <w:webHidden/>
              </w:rPr>
            </w:r>
            <w:r>
              <w:rPr>
                <w:noProof/>
                <w:webHidden/>
              </w:rPr>
              <w:fldChar w:fldCharType="separate"/>
            </w:r>
            <w:r w:rsidR="00D864C4">
              <w:rPr>
                <w:noProof/>
                <w:webHidden/>
              </w:rPr>
              <w:t>14</w:t>
            </w:r>
            <w:r>
              <w:rPr>
                <w:noProof/>
                <w:webHidden/>
              </w:rPr>
              <w:fldChar w:fldCharType="end"/>
            </w:r>
          </w:hyperlink>
        </w:p>
        <w:p w14:paraId="75700BDC" w14:textId="7342582F" w:rsidR="00222BC3" w:rsidRDefault="00222BC3">
          <w:pPr>
            <w:pStyle w:val="TOC1"/>
            <w:rPr>
              <w:rFonts w:eastAsiaTheme="minorEastAsia"/>
              <w:noProof/>
              <w:kern w:val="2"/>
              <w:sz w:val="24"/>
              <w:szCs w:val="24"/>
              <w:lang w:eastAsia="en-GB"/>
              <w14:ligatures w14:val="standardContextual"/>
            </w:rPr>
          </w:pPr>
          <w:hyperlink w:anchor="_Toc198549819" w:history="1">
            <w:r w:rsidRPr="007172DC">
              <w:rPr>
                <w:rStyle w:val="Hyperlink"/>
                <w:rFonts w:ascii="Arial" w:eastAsia="Times New Roman" w:hAnsi="Arial" w:cs="Arial"/>
                <w:noProof/>
              </w:rPr>
              <w:t>Assessment of Future Supply</w:t>
            </w:r>
            <w:r>
              <w:rPr>
                <w:noProof/>
                <w:webHidden/>
              </w:rPr>
              <w:tab/>
            </w:r>
            <w:r>
              <w:rPr>
                <w:noProof/>
                <w:webHidden/>
              </w:rPr>
              <w:fldChar w:fldCharType="begin"/>
            </w:r>
            <w:r>
              <w:rPr>
                <w:noProof/>
                <w:webHidden/>
              </w:rPr>
              <w:instrText xml:space="preserve"> PAGEREF _Toc198549819 \h </w:instrText>
            </w:r>
            <w:r>
              <w:rPr>
                <w:noProof/>
                <w:webHidden/>
              </w:rPr>
            </w:r>
            <w:r>
              <w:rPr>
                <w:noProof/>
                <w:webHidden/>
              </w:rPr>
              <w:fldChar w:fldCharType="separate"/>
            </w:r>
            <w:r w:rsidR="00D864C4">
              <w:rPr>
                <w:noProof/>
                <w:webHidden/>
              </w:rPr>
              <w:t>14</w:t>
            </w:r>
            <w:r>
              <w:rPr>
                <w:noProof/>
                <w:webHidden/>
              </w:rPr>
              <w:fldChar w:fldCharType="end"/>
            </w:r>
          </w:hyperlink>
        </w:p>
        <w:p w14:paraId="6683E8AA" w14:textId="08E05CDB" w:rsidR="00222BC3" w:rsidRDefault="00222BC3">
          <w:pPr>
            <w:pStyle w:val="TOC2"/>
            <w:rPr>
              <w:rFonts w:eastAsiaTheme="minorEastAsia"/>
              <w:noProof/>
              <w:kern w:val="2"/>
              <w:sz w:val="24"/>
              <w:szCs w:val="24"/>
              <w:lang w:eastAsia="en-GB"/>
              <w14:ligatures w14:val="standardContextual"/>
            </w:rPr>
          </w:pPr>
          <w:hyperlink w:anchor="_Toc198549820" w:history="1">
            <w:r w:rsidRPr="007172DC">
              <w:rPr>
                <w:rStyle w:val="Hyperlink"/>
                <w:noProof/>
              </w:rPr>
              <w:t>Housing</w:t>
            </w:r>
            <w:r>
              <w:rPr>
                <w:noProof/>
                <w:webHidden/>
              </w:rPr>
              <w:tab/>
            </w:r>
            <w:r>
              <w:rPr>
                <w:noProof/>
                <w:webHidden/>
              </w:rPr>
              <w:fldChar w:fldCharType="begin"/>
            </w:r>
            <w:r>
              <w:rPr>
                <w:noProof/>
                <w:webHidden/>
              </w:rPr>
              <w:instrText xml:space="preserve"> PAGEREF _Toc198549820 \h </w:instrText>
            </w:r>
            <w:r>
              <w:rPr>
                <w:noProof/>
                <w:webHidden/>
              </w:rPr>
            </w:r>
            <w:r>
              <w:rPr>
                <w:noProof/>
                <w:webHidden/>
              </w:rPr>
              <w:fldChar w:fldCharType="separate"/>
            </w:r>
            <w:r w:rsidR="00D864C4">
              <w:rPr>
                <w:noProof/>
                <w:webHidden/>
              </w:rPr>
              <w:t>14</w:t>
            </w:r>
            <w:r>
              <w:rPr>
                <w:noProof/>
                <w:webHidden/>
              </w:rPr>
              <w:fldChar w:fldCharType="end"/>
            </w:r>
          </w:hyperlink>
        </w:p>
        <w:p w14:paraId="6D81A855" w14:textId="7ED3BC22" w:rsidR="00222BC3" w:rsidRDefault="00222BC3">
          <w:pPr>
            <w:pStyle w:val="TOC2"/>
            <w:rPr>
              <w:rFonts w:eastAsiaTheme="minorEastAsia"/>
              <w:noProof/>
              <w:kern w:val="2"/>
              <w:sz w:val="24"/>
              <w:szCs w:val="24"/>
              <w:lang w:eastAsia="en-GB"/>
              <w14:ligatures w14:val="standardContextual"/>
            </w:rPr>
          </w:pPr>
          <w:hyperlink w:anchor="_Toc198549821" w:history="1">
            <w:r w:rsidRPr="007172DC">
              <w:rPr>
                <w:rStyle w:val="Hyperlink"/>
                <w:noProof/>
              </w:rPr>
              <w:t>Infrastructure Proposals</w:t>
            </w:r>
            <w:r>
              <w:rPr>
                <w:noProof/>
                <w:webHidden/>
              </w:rPr>
              <w:tab/>
            </w:r>
            <w:r>
              <w:rPr>
                <w:noProof/>
                <w:webHidden/>
              </w:rPr>
              <w:fldChar w:fldCharType="begin"/>
            </w:r>
            <w:r>
              <w:rPr>
                <w:noProof/>
                <w:webHidden/>
              </w:rPr>
              <w:instrText xml:space="preserve"> PAGEREF _Toc198549821 \h </w:instrText>
            </w:r>
            <w:r>
              <w:rPr>
                <w:noProof/>
                <w:webHidden/>
              </w:rPr>
            </w:r>
            <w:r>
              <w:rPr>
                <w:noProof/>
                <w:webHidden/>
              </w:rPr>
              <w:fldChar w:fldCharType="separate"/>
            </w:r>
            <w:r w:rsidR="00D864C4">
              <w:rPr>
                <w:noProof/>
                <w:webHidden/>
              </w:rPr>
              <w:t>15</w:t>
            </w:r>
            <w:r>
              <w:rPr>
                <w:noProof/>
                <w:webHidden/>
              </w:rPr>
              <w:fldChar w:fldCharType="end"/>
            </w:r>
          </w:hyperlink>
        </w:p>
        <w:p w14:paraId="2223B845" w14:textId="49B1545F" w:rsidR="00222BC3" w:rsidRDefault="00222BC3">
          <w:pPr>
            <w:pStyle w:val="TOC1"/>
            <w:rPr>
              <w:rFonts w:eastAsiaTheme="minorEastAsia"/>
              <w:noProof/>
              <w:kern w:val="2"/>
              <w:sz w:val="24"/>
              <w:szCs w:val="24"/>
              <w:lang w:eastAsia="en-GB"/>
              <w14:ligatures w14:val="standardContextual"/>
            </w:rPr>
          </w:pPr>
          <w:hyperlink w:anchor="_Toc198549822" w:history="1">
            <w:r w:rsidRPr="007172DC">
              <w:rPr>
                <w:rStyle w:val="Hyperlink"/>
                <w:rFonts w:ascii="Arial" w:eastAsia="Times New Roman" w:hAnsi="Arial" w:cs="Arial"/>
                <w:noProof/>
              </w:rPr>
              <w:t>Are Adequate Resources Available to Meet Development Proposals</w:t>
            </w:r>
            <w:r>
              <w:rPr>
                <w:noProof/>
                <w:webHidden/>
              </w:rPr>
              <w:tab/>
            </w:r>
            <w:r>
              <w:rPr>
                <w:noProof/>
                <w:webHidden/>
              </w:rPr>
              <w:fldChar w:fldCharType="begin"/>
            </w:r>
            <w:r>
              <w:rPr>
                <w:noProof/>
                <w:webHidden/>
              </w:rPr>
              <w:instrText xml:space="preserve"> PAGEREF _Toc198549822 \h </w:instrText>
            </w:r>
            <w:r>
              <w:rPr>
                <w:noProof/>
                <w:webHidden/>
              </w:rPr>
            </w:r>
            <w:r>
              <w:rPr>
                <w:noProof/>
                <w:webHidden/>
              </w:rPr>
              <w:fldChar w:fldCharType="separate"/>
            </w:r>
            <w:r w:rsidR="00D864C4">
              <w:rPr>
                <w:noProof/>
                <w:webHidden/>
              </w:rPr>
              <w:t>15</w:t>
            </w:r>
            <w:r>
              <w:rPr>
                <w:noProof/>
                <w:webHidden/>
              </w:rPr>
              <w:fldChar w:fldCharType="end"/>
            </w:r>
          </w:hyperlink>
        </w:p>
        <w:p w14:paraId="4F60FE6A" w14:textId="6BDBE738" w:rsidR="00222BC3" w:rsidRDefault="00222BC3">
          <w:pPr>
            <w:pStyle w:val="TOC2"/>
            <w:rPr>
              <w:rFonts w:eastAsiaTheme="minorEastAsia"/>
              <w:noProof/>
              <w:kern w:val="2"/>
              <w:sz w:val="24"/>
              <w:szCs w:val="24"/>
              <w:lang w:eastAsia="en-GB"/>
              <w14:ligatures w14:val="standardContextual"/>
            </w:rPr>
          </w:pPr>
          <w:hyperlink w:anchor="_Toc198549823" w:history="1">
            <w:r w:rsidRPr="007172DC">
              <w:rPr>
                <w:rStyle w:val="Hyperlink"/>
                <w:noProof/>
              </w:rPr>
              <w:t>Local Plan Site Allocations (sand, gravel and limestone)</w:t>
            </w:r>
            <w:r>
              <w:rPr>
                <w:noProof/>
                <w:webHidden/>
              </w:rPr>
              <w:tab/>
            </w:r>
            <w:r>
              <w:rPr>
                <w:noProof/>
                <w:webHidden/>
              </w:rPr>
              <w:fldChar w:fldCharType="begin"/>
            </w:r>
            <w:r>
              <w:rPr>
                <w:noProof/>
                <w:webHidden/>
              </w:rPr>
              <w:instrText xml:space="preserve"> PAGEREF _Toc198549823 \h </w:instrText>
            </w:r>
            <w:r>
              <w:rPr>
                <w:noProof/>
                <w:webHidden/>
              </w:rPr>
            </w:r>
            <w:r>
              <w:rPr>
                <w:noProof/>
                <w:webHidden/>
              </w:rPr>
              <w:fldChar w:fldCharType="separate"/>
            </w:r>
            <w:r w:rsidR="00D864C4">
              <w:rPr>
                <w:noProof/>
                <w:webHidden/>
              </w:rPr>
              <w:t>16</w:t>
            </w:r>
            <w:r>
              <w:rPr>
                <w:noProof/>
                <w:webHidden/>
              </w:rPr>
              <w:fldChar w:fldCharType="end"/>
            </w:r>
          </w:hyperlink>
        </w:p>
        <w:p w14:paraId="570D100F" w14:textId="7F1DF49C" w:rsidR="00222BC3" w:rsidRDefault="00222BC3">
          <w:pPr>
            <w:pStyle w:val="TOC1"/>
            <w:rPr>
              <w:rFonts w:eastAsiaTheme="minorEastAsia"/>
              <w:noProof/>
              <w:kern w:val="2"/>
              <w:sz w:val="24"/>
              <w:szCs w:val="24"/>
              <w:lang w:eastAsia="en-GB"/>
              <w14:ligatures w14:val="standardContextual"/>
            </w:rPr>
          </w:pPr>
          <w:hyperlink w:anchor="_Toc198549824" w:history="1">
            <w:r w:rsidRPr="007172DC">
              <w:rPr>
                <w:rStyle w:val="Hyperlink"/>
                <w:rFonts w:ascii="Arial" w:eastAsia="Times New Roman" w:hAnsi="Arial" w:cs="Arial"/>
                <w:noProof/>
              </w:rPr>
              <w:t>Conclusion</w:t>
            </w:r>
            <w:r>
              <w:rPr>
                <w:noProof/>
                <w:webHidden/>
              </w:rPr>
              <w:tab/>
            </w:r>
            <w:r>
              <w:rPr>
                <w:noProof/>
                <w:webHidden/>
              </w:rPr>
              <w:fldChar w:fldCharType="begin"/>
            </w:r>
            <w:r>
              <w:rPr>
                <w:noProof/>
                <w:webHidden/>
              </w:rPr>
              <w:instrText xml:space="preserve"> PAGEREF _Toc198549824 \h </w:instrText>
            </w:r>
            <w:r>
              <w:rPr>
                <w:noProof/>
                <w:webHidden/>
              </w:rPr>
            </w:r>
            <w:r>
              <w:rPr>
                <w:noProof/>
                <w:webHidden/>
              </w:rPr>
              <w:fldChar w:fldCharType="separate"/>
            </w:r>
            <w:r w:rsidR="00D864C4">
              <w:rPr>
                <w:noProof/>
                <w:webHidden/>
              </w:rPr>
              <w:t>17</w:t>
            </w:r>
            <w:r>
              <w:rPr>
                <w:noProof/>
                <w:webHidden/>
              </w:rPr>
              <w:fldChar w:fldCharType="end"/>
            </w:r>
          </w:hyperlink>
        </w:p>
        <w:p w14:paraId="2B2DEA57" w14:textId="526DF83A" w:rsidR="00222BC3" w:rsidRDefault="00222BC3">
          <w:pPr>
            <w:pStyle w:val="TOC2"/>
            <w:rPr>
              <w:rFonts w:eastAsiaTheme="minorEastAsia"/>
              <w:noProof/>
              <w:kern w:val="2"/>
              <w:sz w:val="24"/>
              <w:szCs w:val="24"/>
              <w:lang w:eastAsia="en-GB"/>
              <w14:ligatures w14:val="standardContextual"/>
            </w:rPr>
          </w:pPr>
          <w:hyperlink w:anchor="_Toc198549825" w:history="1">
            <w:r w:rsidRPr="007172DC">
              <w:rPr>
                <w:rStyle w:val="Hyperlink"/>
                <w:noProof/>
              </w:rPr>
              <w:t>Appendix One – Planning Application Summary 2023 /2024</w:t>
            </w:r>
            <w:r>
              <w:rPr>
                <w:noProof/>
                <w:webHidden/>
              </w:rPr>
              <w:tab/>
            </w:r>
            <w:r>
              <w:rPr>
                <w:noProof/>
                <w:webHidden/>
              </w:rPr>
              <w:fldChar w:fldCharType="begin"/>
            </w:r>
            <w:r>
              <w:rPr>
                <w:noProof/>
                <w:webHidden/>
              </w:rPr>
              <w:instrText xml:space="preserve"> PAGEREF _Toc198549825 \h </w:instrText>
            </w:r>
            <w:r>
              <w:rPr>
                <w:noProof/>
                <w:webHidden/>
              </w:rPr>
            </w:r>
            <w:r>
              <w:rPr>
                <w:noProof/>
                <w:webHidden/>
              </w:rPr>
              <w:fldChar w:fldCharType="separate"/>
            </w:r>
            <w:r w:rsidR="00D864C4">
              <w:rPr>
                <w:noProof/>
                <w:webHidden/>
              </w:rPr>
              <w:t>19</w:t>
            </w:r>
            <w:r>
              <w:rPr>
                <w:noProof/>
                <w:webHidden/>
              </w:rPr>
              <w:fldChar w:fldCharType="end"/>
            </w:r>
          </w:hyperlink>
        </w:p>
        <w:p w14:paraId="1B83CBBF" w14:textId="18C889F6" w:rsidR="00222BC3" w:rsidRDefault="00222BC3">
          <w:pPr>
            <w:pStyle w:val="TOC2"/>
            <w:rPr>
              <w:rFonts w:eastAsiaTheme="minorEastAsia"/>
              <w:noProof/>
              <w:kern w:val="2"/>
              <w:sz w:val="24"/>
              <w:szCs w:val="24"/>
              <w:lang w:eastAsia="en-GB"/>
              <w14:ligatures w14:val="standardContextual"/>
            </w:rPr>
          </w:pPr>
          <w:hyperlink w:anchor="_Toc198549826" w:history="1">
            <w:r w:rsidRPr="007172DC">
              <w:rPr>
                <w:rStyle w:val="Hyperlink"/>
                <w:noProof/>
              </w:rPr>
              <w:t>Doncaster</w:t>
            </w:r>
            <w:r>
              <w:rPr>
                <w:noProof/>
                <w:webHidden/>
              </w:rPr>
              <w:tab/>
            </w:r>
            <w:r>
              <w:rPr>
                <w:noProof/>
                <w:webHidden/>
              </w:rPr>
              <w:fldChar w:fldCharType="begin"/>
            </w:r>
            <w:r>
              <w:rPr>
                <w:noProof/>
                <w:webHidden/>
              </w:rPr>
              <w:instrText xml:space="preserve"> PAGEREF _Toc198549826 \h </w:instrText>
            </w:r>
            <w:r>
              <w:rPr>
                <w:noProof/>
                <w:webHidden/>
              </w:rPr>
            </w:r>
            <w:r>
              <w:rPr>
                <w:noProof/>
                <w:webHidden/>
              </w:rPr>
              <w:fldChar w:fldCharType="separate"/>
            </w:r>
            <w:r w:rsidR="00D864C4">
              <w:rPr>
                <w:noProof/>
                <w:webHidden/>
              </w:rPr>
              <w:t>19</w:t>
            </w:r>
            <w:r>
              <w:rPr>
                <w:noProof/>
                <w:webHidden/>
              </w:rPr>
              <w:fldChar w:fldCharType="end"/>
            </w:r>
          </w:hyperlink>
        </w:p>
        <w:p w14:paraId="2A2C2472" w14:textId="11F8E7B4" w:rsidR="00222BC3" w:rsidRDefault="00222BC3">
          <w:pPr>
            <w:pStyle w:val="TOC2"/>
            <w:rPr>
              <w:rFonts w:eastAsiaTheme="minorEastAsia"/>
              <w:noProof/>
              <w:kern w:val="2"/>
              <w:sz w:val="24"/>
              <w:szCs w:val="24"/>
              <w:lang w:eastAsia="en-GB"/>
              <w14:ligatures w14:val="standardContextual"/>
            </w:rPr>
          </w:pPr>
          <w:hyperlink w:anchor="_Toc198549827" w:history="1">
            <w:r w:rsidRPr="007172DC">
              <w:rPr>
                <w:rStyle w:val="Hyperlink"/>
                <w:noProof/>
              </w:rPr>
              <w:t>Rotherham</w:t>
            </w:r>
            <w:r>
              <w:rPr>
                <w:noProof/>
                <w:webHidden/>
              </w:rPr>
              <w:tab/>
            </w:r>
            <w:r>
              <w:rPr>
                <w:noProof/>
                <w:webHidden/>
              </w:rPr>
              <w:fldChar w:fldCharType="begin"/>
            </w:r>
            <w:r>
              <w:rPr>
                <w:noProof/>
                <w:webHidden/>
              </w:rPr>
              <w:instrText xml:space="preserve"> PAGEREF _Toc198549827 \h </w:instrText>
            </w:r>
            <w:r>
              <w:rPr>
                <w:noProof/>
                <w:webHidden/>
              </w:rPr>
            </w:r>
            <w:r>
              <w:rPr>
                <w:noProof/>
                <w:webHidden/>
              </w:rPr>
              <w:fldChar w:fldCharType="separate"/>
            </w:r>
            <w:r w:rsidR="00D864C4">
              <w:rPr>
                <w:noProof/>
                <w:webHidden/>
              </w:rPr>
              <w:t>23</w:t>
            </w:r>
            <w:r>
              <w:rPr>
                <w:noProof/>
                <w:webHidden/>
              </w:rPr>
              <w:fldChar w:fldCharType="end"/>
            </w:r>
          </w:hyperlink>
        </w:p>
        <w:p w14:paraId="7A7EFCE2" w14:textId="14EF87A0" w:rsidR="00222BC3" w:rsidRDefault="00222BC3">
          <w:pPr>
            <w:pStyle w:val="TOC2"/>
            <w:rPr>
              <w:rFonts w:eastAsiaTheme="minorEastAsia"/>
              <w:noProof/>
              <w:kern w:val="2"/>
              <w:sz w:val="24"/>
              <w:szCs w:val="24"/>
              <w:lang w:eastAsia="en-GB"/>
              <w14:ligatures w14:val="standardContextual"/>
            </w:rPr>
          </w:pPr>
          <w:hyperlink w:anchor="_Toc198549828" w:history="1">
            <w:r w:rsidRPr="007172DC">
              <w:rPr>
                <w:rStyle w:val="Hyperlink"/>
                <w:noProof/>
              </w:rPr>
              <w:t>Appendix Two – Consultation Comments</w:t>
            </w:r>
            <w:r>
              <w:rPr>
                <w:noProof/>
                <w:webHidden/>
              </w:rPr>
              <w:tab/>
            </w:r>
            <w:r>
              <w:rPr>
                <w:noProof/>
                <w:webHidden/>
              </w:rPr>
              <w:fldChar w:fldCharType="begin"/>
            </w:r>
            <w:r>
              <w:rPr>
                <w:noProof/>
                <w:webHidden/>
              </w:rPr>
              <w:instrText xml:space="preserve"> PAGEREF _Toc198549828 \h </w:instrText>
            </w:r>
            <w:r>
              <w:rPr>
                <w:noProof/>
                <w:webHidden/>
              </w:rPr>
            </w:r>
            <w:r>
              <w:rPr>
                <w:noProof/>
                <w:webHidden/>
              </w:rPr>
              <w:fldChar w:fldCharType="separate"/>
            </w:r>
            <w:r w:rsidR="00D864C4">
              <w:rPr>
                <w:noProof/>
                <w:webHidden/>
              </w:rPr>
              <w:t>24</w:t>
            </w:r>
            <w:r>
              <w:rPr>
                <w:noProof/>
                <w:webHidden/>
              </w:rPr>
              <w:fldChar w:fldCharType="end"/>
            </w:r>
          </w:hyperlink>
        </w:p>
        <w:p w14:paraId="74B85146" w14:textId="687C2224" w:rsidR="00222BC3" w:rsidRDefault="00222BC3">
          <w:pPr>
            <w:pStyle w:val="TOC2"/>
            <w:rPr>
              <w:rFonts w:eastAsiaTheme="minorEastAsia"/>
              <w:noProof/>
              <w:kern w:val="2"/>
              <w:sz w:val="24"/>
              <w:szCs w:val="24"/>
              <w:lang w:eastAsia="en-GB"/>
              <w14:ligatures w14:val="standardContextual"/>
            </w:rPr>
          </w:pPr>
          <w:hyperlink w:anchor="_Toc198549829" w:history="1">
            <w:r w:rsidRPr="007172DC">
              <w:rPr>
                <w:rStyle w:val="Hyperlink"/>
                <w:noProof/>
              </w:rPr>
              <w:t>Appendix Three: Forecasting Aggregate Demand – 2023 LAA Update</w:t>
            </w:r>
            <w:r>
              <w:rPr>
                <w:noProof/>
                <w:webHidden/>
              </w:rPr>
              <w:tab/>
            </w:r>
            <w:r>
              <w:rPr>
                <w:noProof/>
                <w:webHidden/>
              </w:rPr>
              <w:fldChar w:fldCharType="begin"/>
            </w:r>
            <w:r>
              <w:rPr>
                <w:noProof/>
                <w:webHidden/>
              </w:rPr>
              <w:instrText xml:space="preserve"> PAGEREF _Toc198549829 \h </w:instrText>
            </w:r>
            <w:r>
              <w:rPr>
                <w:noProof/>
                <w:webHidden/>
              </w:rPr>
            </w:r>
            <w:r>
              <w:rPr>
                <w:noProof/>
                <w:webHidden/>
              </w:rPr>
              <w:fldChar w:fldCharType="separate"/>
            </w:r>
            <w:r w:rsidR="00D864C4">
              <w:rPr>
                <w:noProof/>
                <w:webHidden/>
              </w:rPr>
              <w:t>29</w:t>
            </w:r>
            <w:r>
              <w:rPr>
                <w:noProof/>
                <w:webHidden/>
              </w:rPr>
              <w:fldChar w:fldCharType="end"/>
            </w:r>
          </w:hyperlink>
        </w:p>
        <w:p w14:paraId="5E12EF47" w14:textId="36E22F83" w:rsidR="00222BC3" w:rsidRDefault="00222BC3">
          <w:pPr>
            <w:pStyle w:val="TOC2"/>
            <w:rPr>
              <w:rFonts w:eastAsiaTheme="minorEastAsia"/>
              <w:noProof/>
              <w:kern w:val="2"/>
              <w:sz w:val="24"/>
              <w:szCs w:val="24"/>
              <w:lang w:eastAsia="en-GB"/>
              <w14:ligatures w14:val="standardContextual"/>
            </w:rPr>
          </w:pPr>
          <w:hyperlink w:anchor="_Toc198549830" w:history="1">
            <w:r w:rsidRPr="007172DC">
              <w:rPr>
                <w:rStyle w:val="Hyperlink"/>
                <w:noProof/>
              </w:rPr>
              <w:t>Appendix Four.</w:t>
            </w:r>
            <w:r>
              <w:rPr>
                <w:noProof/>
                <w:webHidden/>
              </w:rPr>
              <w:tab/>
            </w:r>
            <w:r>
              <w:rPr>
                <w:noProof/>
                <w:webHidden/>
              </w:rPr>
              <w:fldChar w:fldCharType="begin"/>
            </w:r>
            <w:r>
              <w:rPr>
                <w:noProof/>
                <w:webHidden/>
              </w:rPr>
              <w:instrText xml:space="preserve"> PAGEREF _Toc198549830 \h </w:instrText>
            </w:r>
            <w:r>
              <w:rPr>
                <w:noProof/>
                <w:webHidden/>
              </w:rPr>
            </w:r>
            <w:r>
              <w:rPr>
                <w:noProof/>
                <w:webHidden/>
              </w:rPr>
              <w:fldChar w:fldCharType="separate"/>
            </w:r>
            <w:r w:rsidR="00D864C4">
              <w:rPr>
                <w:noProof/>
                <w:webHidden/>
              </w:rPr>
              <w:t>iii</w:t>
            </w:r>
            <w:r>
              <w:rPr>
                <w:noProof/>
                <w:webHidden/>
              </w:rPr>
              <w:fldChar w:fldCharType="end"/>
            </w:r>
          </w:hyperlink>
        </w:p>
        <w:p w14:paraId="285DC33A" w14:textId="17725295" w:rsidR="001C1AF4" w:rsidRPr="00940F0D" w:rsidRDefault="00986202" w:rsidP="00D73374">
          <w:pPr>
            <w:pStyle w:val="Heading1"/>
            <w:rPr>
              <w:rFonts w:ascii="Arial" w:eastAsia="Times New Roman" w:hAnsi="Arial" w:cs="Arial"/>
              <w:color w:val="auto"/>
              <w:szCs w:val="20"/>
            </w:rPr>
          </w:pPr>
          <w:r>
            <w:rPr>
              <w:rFonts w:ascii="Arial" w:hAnsi="Arial" w:cs="Arial"/>
            </w:rPr>
            <w:lastRenderedPageBreak/>
            <w:fldChar w:fldCharType="end"/>
          </w:r>
          <w:bookmarkStart w:id="0" w:name="_Toc198549792"/>
          <w:r w:rsidR="001C1AF4" w:rsidRPr="00940F0D">
            <w:rPr>
              <w:rFonts w:ascii="Arial" w:eastAsia="Times New Roman" w:hAnsi="Arial" w:cs="Arial"/>
              <w:color w:val="auto"/>
              <w:szCs w:val="20"/>
            </w:rPr>
            <w:t>Executive Summary</w:t>
          </w:r>
          <w:bookmarkEnd w:id="0"/>
          <w:r w:rsidR="001C1AF4" w:rsidRPr="00940F0D">
            <w:rPr>
              <w:rFonts w:ascii="Arial" w:eastAsia="Times New Roman" w:hAnsi="Arial" w:cs="Arial"/>
              <w:color w:val="auto"/>
              <w:szCs w:val="20"/>
            </w:rPr>
            <w:t xml:space="preserve"> </w:t>
          </w:r>
        </w:p>
        <w:p w14:paraId="30174464" w14:textId="77777777" w:rsidR="00B8351E" w:rsidRDefault="00000000" w:rsidP="00D73374">
          <w:pPr>
            <w:spacing w:line="276" w:lineRule="auto"/>
            <w:rPr>
              <w:rFonts w:ascii="Arial" w:hAnsi="Arial" w:cs="Arial"/>
            </w:rPr>
          </w:pPr>
        </w:p>
      </w:sdtContent>
    </w:sdt>
    <w:p w14:paraId="07A76C46" w14:textId="5A12FCE0" w:rsidR="00B8351E" w:rsidRDefault="00C154D4" w:rsidP="00D73374">
      <w:pPr>
        <w:spacing w:after="240" w:line="276" w:lineRule="auto"/>
        <w:rPr>
          <w:rFonts w:ascii="Arial" w:hAnsi="Arial" w:cs="Arial"/>
        </w:rPr>
      </w:pPr>
      <w:r>
        <w:rPr>
          <w:rFonts w:ascii="Arial" w:hAnsi="Arial" w:cs="Arial"/>
        </w:rPr>
        <w:t xml:space="preserve">This document has been prepared in line with National Policy </w:t>
      </w:r>
      <w:r w:rsidR="002C5E6E">
        <w:rPr>
          <w:rFonts w:ascii="Arial" w:hAnsi="Arial" w:cs="Arial"/>
        </w:rPr>
        <w:t xml:space="preserve">and </w:t>
      </w:r>
      <w:r w:rsidR="001518BF">
        <w:rPr>
          <w:rFonts w:ascii="Arial" w:hAnsi="Arial" w:cs="Arial"/>
        </w:rPr>
        <w:t>Planning Practice Guidance</w:t>
      </w:r>
      <w:r w:rsidR="004379F0">
        <w:rPr>
          <w:rFonts w:ascii="Arial" w:hAnsi="Arial" w:cs="Arial"/>
        </w:rPr>
        <w:t xml:space="preserve">. </w:t>
      </w:r>
      <w:hyperlink r:id="rId14" w:anchor="planning-for-aggregate-minerals" w:history="1">
        <w:r w:rsidR="00BE5A5B" w:rsidRPr="004379F0">
          <w:rPr>
            <w:rStyle w:val="Hyperlink"/>
            <w:rFonts w:ascii="Arial" w:hAnsi="Arial" w:cs="Arial"/>
          </w:rPr>
          <w:t>Planning for Aggregate Minerals</w:t>
        </w:r>
      </w:hyperlink>
      <w:r w:rsidR="00BE5A5B">
        <w:rPr>
          <w:rFonts w:ascii="Arial" w:hAnsi="Arial" w:cs="Arial"/>
        </w:rPr>
        <w:t xml:space="preserve"> includes </w:t>
      </w:r>
      <w:r w:rsidR="00473D22">
        <w:rPr>
          <w:rFonts w:ascii="Arial" w:hAnsi="Arial" w:cs="Arial"/>
        </w:rPr>
        <w:t xml:space="preserve">supporting </w:t>
      </w:r>
      <w:r w:rsidR="008E6E22">
        <w:rPr>
          <w:rFonts w:ascii="Arial" w:hAnsi="Arial" w:cs="Arial"/>
        </w:rPr>
        <w:t xml:space="preserve">information </w:t>
      </w:r>
      <w:r w:rsidR="00473D22">
        <w:rPr>
          <w:rFonts w:ascii="Arial" w:hAnsi="Arial" w:cs="Arial"/>
        </w:rPr>
        <w:t>on</w:t>
      </w:r>
      <w:r w:rsidR="00486F64">
        <w:rPr>
          <w:rFonts w:ascii="Arial" w:hAnsi="Arial" w:cs="Arial"/>
        </w:rPr>
        <w:t xml:space="preserve"> the</w:t>
      </w:r>
      <w:r w:rsidR="00B8351E" w:rsidRPr="00B8351E">
        <w:rPr>
          <w:rFonts w:ascii="Arial" w:hAnsi="Arial" w:cs="Arial"/>
        </w:rPr>
        <w:t xml:space="preserve"> </w:t>
      </w:r>
      <w:r w:rsidR="00486F64">
        <w:rPr>
          <w:rFonts w:ascii="Arial" w:hAnsi="Arial" w:cs="Arial"/>
        </w:rPr>
        <w:t>‘</w:t>
      </w:r>
      <w:r w:rsidR="00B8351E" w:rsidRPr="00B8351E">
        <w:rPr>
          <w:rFonts w:ascii="Arial" w:hAnsi="Arial" w:cs="Arial"/>
        </w:rPr>
        <w:t>Managed Aggregate Supply System (MASS)</w:t>
      </w:r>
      <w:r w:rsidR="00486F64">
        <w:rPr>
          <w:rFonts w:ascii="Arial" w:hAnsi="Arial" w:cs="Arial"/>
        </w:rPr>
        <w:t>’</w:t>
      </w:r>
      <w:r w:rsidR="00473D22">
        <w:rPr>
          <w:rFonts w:ascii="Arial" w:hAnsi="Arial" w:cs="Arial"/>
        </w:rPr>
        <w:t>, Local Aggregates Assessments and Aggregate Landbanks</w:t>
      </w:r>
      <w:r w:rsidR="00F23FA5">
        <w:rPr>
          <w:rFonts w:ascii="Arial" w:hAnsi="Arial" w:cs="Arial"/>
        </w:rPr>
        <w:t xml:space="preserve"> </w:t>
      </w:r>
      <w:r w:rsidR="008E6E22">
        <w:rPr>
          <w:rFonts w:ascii="Arial" w:hAnsi="Arial" w:cs="Arial"/>
        </w:rPr>
        <w:t>to ensure</w:t>
      </w:r>
      <w:r w:rsidR="00700554" w:rsidRPr="00700554">
        <w:rPr>
          <w:rFonts w:ascii="Arial" w:hAnsi="Arial" w:cs="Arial"/>
        </w:rPr>
        <w:t xml:space="preserve"> a steady and adequate supply of aggregate mineral</w:t>
      </w:r>
      <w:r w:rsidR="00B8351E" w:rsidRPr="00B8351E">
        <w:rPr>
          <w:rFonts w:ascii="Arial" w:hAnsi="Arial" w:cs="Arial"/>
        </w:rPr>
        <w:t>.</w:t>
      </w:r>
      <w:r w:rsidR="00E03A67">
        <w:rPr>
          <w:rFonts w:ascii="Arial" w:hAnsi="Arial" w:cs="Arial"/>
        </w:rPr>
        <w:t xml:space="preserve"> </w:t>
      </w:r>
    </w:p>
    <w:p w14:paraId="16B7BD44" w14:textId="77777777" w:rsidR="00B8351E" w:rsidRPr="00B8351E" w:rsidRDefault="00B8351E" w:rsidP="00D73374">
      <w:pPr>
        <w:spacing w:line="276" w:lineRule="auto"/>
        <w:rPr>
          <w:rFonts w:ascii="Arial" w:hAnsi="Arial" w:cs="Arial"/>
          <w:b/>
        </w:rPr>
      </w:pPr>
      <w:r w:rsidRPr="00B8351E">
        <w:rPr>
          <w:rFonts w:ascii="Arial" w:hAnsi="Arial" w:cs="Arial"/>
          <w:b/>
        </w:rPr>
        <w:t>Sand and Gravel</w:t>
      </w:r>
    </w:p>
    <w:p w14:paraId="21E4858A" w14:textId="74EA71B8" w:rsidR="00B8351E" w:rsidRPr="00A80C3A" w:rsidRDefault="00A80C3A" w:rsidP="00D73374">
      <w:pPr>
        <w:spacing w:after="240" w:line="276" w:lineRule="auto"/>
        <w:rPr>
          <w:rFonts w:ascii="Arial" w:hAnsi="Arial" w:cs="Arial"/>
        </w:rPr>
      </w:pPr>
      <w:r w:rsidRPr="00A80C3A">
        <w:rPr>
          <w:rFonts w:ascii="Arial" w:hAnsi="Arial" w:cs="Arial"/>
        </w:rPr>
        <w:t>T</w:t>
      </w:r>
      <w:r w:rsidR="001814A9" w:rsidRPr="00A80C3A">
        <w:rPr>
          <w:rFonts w:ascii="Arial" w:hAnsi="Arial" w:cs="Arial"/>
        </w:rPr>
        <w:t xml:space="preserve">he sand and </w:t>
      </w:r>
      <w:r w:rsidR="001814A9" w:rsidRPr="00CF6994">
        <w:rPr>
          <w:rFonts w:ascii="Arial" w:hAnsi="Arial" w:cs="Arial"/>
        </w:rPr>
        <w:t>gravel reser</w:t>
      </w:r>
      <w:r w:rsidR="00171356" w:rsidRPr="00CF6994">
        <w:rPr>
          <w:rFonts w:ascii="Arial" w:hAnsi="Arial" w:cs="Arial"/>
        </w:rPr>
        <w:t xml:space="preserve">ve for Doncaster in </w:t>
      </w:r>
      <w:r w:rsidR="000A6367" w:rsidRPr="00CF6994">
        <w:rPr>
          <w:rFonts w:ascii="Arial" w:hAnsi="Arial" w:cs="Arial"/>
        </w:rPr>
        <w:t>202</w:t>
      </w:r>
      <w:r w:rsidR="0024047A" w:rsidRPr="00CF6994">
        <w:rPr>
          <w:rFonts w:ascii="Arial" w:hAnsi="Arial" w:cs="Arial"/>
        </w:rPr>
        <w:t>3</w:t>
      </w:r>
      <w:r w:rsidR="00D0320F" w:rsidRPr="00CF6994">
        <w:rPr>
          <w:rFonts w:ascii="Arial" w:hAnsi="Arial" w:cs="Arial"/>
        </w:rPr>
        <w:t xml:space="preserve"> is </w:t>
      </w:r>
      <w:r w:rsidR="0024047A" w:rsidRPr="00CF6994">
        <w:rPr>
          <w:rFonts w:ascii="Arial" w:hAnsi="Arial" w:cs="Arial"/>
        </w:rPr>
        <w:t>6.1</w:t>
      </w:r>
      <w:r w:rsidR="001814A9" w:rsidRPr="00CF6994">
        <w:rPr>
          <w:rFonts w:ascii="Arial" w:hAnsi="Arial" w:cs="Arial"/>
        </w:rPr>
        <w:t xml:space="preserve">Mt. </w:t>
      </w:r>
      <w:r w:rsidR="00092E78" w:rsidRPr="00092E78">
        <w:rPr>
          <w:rFonts w:ascii="Arial" w:hAnsi="Arial" w:cs="Arial"/>
        </w:rPr>
        <w:t>6 of the 9 active sand and gravel sites have permissions expir</w:t>
      </w:r>
      <w:r w:rsidR="00324C4B">
        <w:rPr>
          <w:rFonts w:ascii="Arial" w:hAnsi="Arial" w:cs="Arial"/>
        </w:rPr>
        <w:t>ing before</w:t>
      </w:r>
      <w:r w:rsidR="00092E78" w:rsidRPr="00092E78">
        <w:rPr>
          <w:rFonts w:ascii="Arial" w:hAnsi="Arial" w:cs="Arial"/>
        </w:rPr>
        <w:t xml:space="preserve"> 2030</w:t>
      </w:r>
      <w:r w:rsidR="00092E78">
        <w:rPr>
          <w:rFonts w:ascii="Arial" w:hAnsi="Arial" w:cs="Arial"/>
        </w:rPr>
        <w:t xml:space="preserve">. </w:t>
      </w:r>
      <w:r w:rsidR="001814A9" w:rsidRPr="00CF6994">
        <w:rPr>
          <w:rFonts w:ascii="Arial" w:hAnsi="Arial" w:cs="Arial"/>
        </w:rPr>
        <w:t xml:space="preserve">The landbank based on </w:t>
      </w:r>
      <w:proofErr w:type="gramStart"/>
      <w:r w:rsidR="001814A9" w:rsidRPr="00CF6994">
        <w:rPr>
          <w:rFonts w:ascii="Arial" w:hAnsi="Arial" w:cs="Arial"/>
        </w:rPr>
        <w:t>ten year</w:t>
      </w:r>
      <w:proofErr w:type="gramEnd"/>
      <w:r w:rsidR="001814A9" w:rsidRPr="00CF6994">
        <w:rPr>
          <w:rFonts w:ascii="Arial" w:hAnsi="Arial" w:cs="Arial"/>
        </w:rPr>
        <w:t xml:space="preserve"> average sales is </w:t>
      </w:r>
      <w:r w:rsidR="0024047A" w:rsidRPr="00CF6994">
        <w:rPr>
          <w:rFonts w:ascii="Arial" w:hAnsi="Arial" w:cs="Arial"/>
        </w:rPr>
        <w:t>13</w:t>
      </w:r>
      <w:r w:rsidRPr="00CF6994">
        <w:rPr>
          <w:rFonts w:ascii="Arial" w:hAnsi="Arial" w:cs="Arial"/>
        </w:rPr>
        <w:t xml:space="preserve"> </w:t>
      </w:r>
      <w:r w:rsidR="001814A9" w:rsidRPr="00CF6994">
        <w:rPr>
          <w:rFonts w:ascii="Arial" w:hAnsi="Arial" w:cs="Arial"/>
        </w:rPr>
        <w:t xml:space="preserve">years. The </w:t>
      </w:r>
      <w:proofErr w:type="gramStart"/>
      <w:r w:rsidR="001814A9" w:rsidRPr="00CF6994">
        <w:rPr>
          <w:rFonts w:ascii="Arial" w:hAnsi="Arial" w:cs="Arial"/>
        </w:rPr>
        <w:t>three year</w:t>
      </w:r>
      <w:proofErr w:type="gramEnd"/>
      <w:r w:rsidR="001814A9" w:rsidRPr="00CF6994">
        <w:rPr>
          <w:rFonts w:ascii="Arial" w:hAnsi="Arial" w:cs="Arial"/>
        </w:rPr>
        <w:t xml:space="preserve"> average sale landbank is </w:t>
      </w:r>
      <w:r w:rsidR="0024047A" w:rsidRPr="00CF6994">
        <w:rPr>
          <w:rFonts w:ascii="Arial" w:hAnsi="Arial" w:cs="Arial"/>
        </w:rPr>
        <w:t>11</w:t>
      </w:r>
      <w:r w:rsidRPr="00CF6994">
        <w:rPr>
          <w:rFonts w:ascii="Arial" w:hAnsi="Arial" w:cs="Arial"/>
        </w:rPr>
        <w:t xml:space="preserve"> </w:t>
      </w:r>
      <w:r w:rsidR="001814A9" w:rsidRPr="00CF6994">
        <w:rPr>
          <w:rFonts w:ascii="Arial" w:hAnsi="Arial" w:cs="Arial"/>
        </w:rPr>
        <w:t>years and the fixed rate local plan annual provision landbank is</w:t>
      </w:r>
      <w:r w:rsidR="008E3238" w:rsidRPr="00CF6994">
        <w:rPr>
          <w:rFonts w:ascii="Arial" w:hAnsi="Arial" w:cs="Arial"/>
        </w:rPr>
        <w:t xml:space="preserve"> </w:t>
      </w:r>
      <w:r w:rsidR="0024047A" w:rsidRPr="00CF6994">
        <w:rPr>
          <w:rFonts w:ascii="Arial" w:hAnsi="Arial" w:cs="Arial"/>
        </w:rPr>
        <w:t>15</w:t>
      </w:r>
      <w:r w:rsidRPr="00CF6994">
        <w:rPr>
          <w:rFonts w:ascii="Arial" w:hAnsi="Arial" w:cs="Arial"/>
        </w:rPr>
        <w:t xml:space="preserve"> </w:t>
      </w:r>
      <w:r w:rsidR="001814A9" w:rsidRPr="00CF6994">
        <w:rPr>
          <w:rFonts w:ascii="Arial" w:hAnsi="Arial" w:cs="Arial"/>
        </w:rPr>
        <w:t>years.</w:t>
      </w:r>
      <w:r w:rsidR="001814A9" w:rsidRPr="00A80C3A">
        <w:rPr>
          <w:rFonts w:ascii="Arial" w:hAnsi="Arial" w:cs="Arial"/>
        </w:rPr>
        <w:t xml:space="preserve"> </w:t>
      </w:r>
      <w:r w:rsidR="006C5365" w:rsidRPr="00A80C3A">
        <w:rPr>
          <w:rFonts w:ascii="Arial" w:hAnsi="Arial" w:cs="Arial"/>
        </w:rPr>
        <w:t xml:space="preserve">This is well above the </w:t>
      </w:r>
      <w:proofErr w:type="gramStart"/>
      <w:r w:rsidR="001814A9" w:rsidRPr="00A80C3A">
        <w:rPr>
          <w:rFonts w:ascii="Arial" w:hAnsi="Arial" w:cs="Arial"/>
        </w:rPr>
        <w:t>seven year</w:t>
      </w:r>
      <w:proofErr w:type="gramEnd"/>
      <w:r w:rsidR="001814A9" w:rsidRPr="00A80C3A">
        <w:rPr>
          <w:rFonts w:ascii="Arial" w:hAnsi="Arial" w:cs="Arial"/>
        </w:rPr>
        <w:t xml:space="preserve"> landbank requirement as</w:t>
      </w:r>
      <w:r w:rsidR="00D0320F" w:rsidRPr="00A80C3A">
        <w:rPr>
          <w:rFonts w:ascii="Arial" w:hAnsi="Arial" w:cs="Arial"/>
        </w:rPr>
        <w:t xml:space="preserve"> set out in national policy, but decreasing annually.</w:t>
      </w:r>
    </w:p>
    <w:p w14:paraId="79C62B24" w14:textId="77777777" w:rsidR="00B8351E" w:rsidRPr="00B52AF1" w:rsidRDefault="00B8351E" w:rsidP="00D73374">
      <w:pPr>
        <w:spacing w:line="276" w:lineRule="auto"/>
        <w:rPr>
          <w:rFonts w:ascii="Arial" w:hAnsi="Arial" w:cs="Arial"/>
          <w:b/>
        </w:rPr>
      </w:pPr>
      <w:r w:rsidRPr="00B52AF1">
        <w:rPr>
          <w:rFonts w:ascii="Arial" w:hAnsi="Arial" w:cs="Arial"/>
          <w:b/>
        </w:rPr>
        <w:t>Crushed Rock</w:t>
      </w:r>
    </w:p>
    <w:p w14:paraId="4271F8D1" w14:textId="1A05C40E" w:rsidR="00B8351E" w:rsidRDefault="001814A9" w:rsidP="00D73374">
      <w:pPr>
        <w:spacing w:after="240" w:line="276" w:lineRule="auto"/>
        <w:rPr>
          <w:rFonts w:ascii="Arial" w:hAnsi="Arial" w:cs="Arial"/>
        </w:rPr>
      </w:pPr>
      <w:r w:rsidRPr="00A80C3A">
        <w:rPr>
          <w:rFonts w:ascii="Arial" w:hAnsi="Arial" w:cs="Arial"/>
        </w:rPr>
        <w:t xml:space="preserve">The crushed rock (limestone) reserve (shared with </w:t>
      </w:r>
      <w:r w:rsidRPr="00E71EB7">
        <w:rPr>
          <w:rFonts w:ascii="Arial" w:hAnsi="Arial" w:cs="Arial"/>
        </w:rPr>
        <w:t xml:space="preserve">Rotherham) for </w:t>
      </w:r>
      <w:r w:rsidR="000A6367" w:rsidRPr="00E71EB7">
        <w:rPr>
          <w:rFonts w:ascii="Arial" w:hAnsi="Arial" w:cs="Arial"/>
        </w:rPr>
        <w:t>202</w:t>
      </w:r>
      <w:r w:rsidR="00CF6994" w:rsidRPr="00E71EB7">
        <w:rPr>
          <w:rFonts w:ascii="Arial" w:hAnsi="Arial" w:cs="Arial"/>
        </w:rPr>
        <w:t>3</w:t>
      </w:r>
      <w:r w:rsidR="00D0320F" w:rsidRPr="00E71EB7">
        <w:rPr>
          <w:rFonts w:ascii="Arial" w:hAnsi="Arial" w:cs="Arial"/>
        </w:rPr>
        <w:t xml:space="preserve"> is </w:t>
      </w:r>
      <w:r w:rsidR="00CF6994" w:rsidRPr="00E71EB7">
        <w:rPr>
          <w:rFonts w:ascii="Arial" w:hAnsi="Arial" w:cs="Arial"/>
        </w:rPr>
        <w:t>62</w:t>
      </w:r>
      <w:r w:rsidRPr="00E71EB7">
        <w:rPr>
          <w:rFonts w:ascii="Arial" w:hAnsi="Arial" w:cs="Arial"/>
        </w:rPr>
        <w:t>Mt</w:t>
      </w:r>
      <w:r w:rsidR="00222E21" w:rsidRPr="00E71EB7">
        <w:rPr>
          <w:rFonts w:ascii="Arial" w:hAnsi="Arial" w:cs="Arial"/>
        </w:rPr>
        <w:t>.</w:t>
      </w:r>
      <w:r w:rsidRPr="00E71EB7">
        <w:rPr>
          <w:rFonts w:ascii="Arial" w:hAnsi="Arial" w:cs="Arial"/>
        </w:rPr>
        <w:t xml:space="preserve"> </w:t>
      </w:r>
      <w:r w:rsidR="0071171F">
        <w:rPr>
          <w:rFonts w:ascii="Arial" w:hAnsi="Arial" w:cs="Arial"/>
        </w:rPr>
        <w:t>P</w:t>
      </w:r>
      <w:r w:rsidR="0071171F" w:rsidRPr="0071171F">
        <w:rPr>
          <w:rFonts w:ascii="Arial" w:hAnsi="Arial" w:cs="Arial"/>
        </w:rPr>
        <w:t>roduction is mainly from one site which has permission until 2035</w:t>
      </w:r>
      <w:r w:rsidR="00864E28">
        <w:rPr>
          <w:rFonts w:ascii="Arial" w:hAnsi="Arial" w:cs="Arial"/>
        </w:rPr>
        <w:t>.</w:t>
      </w:r>
      <w:r w:rsidR="0071171F" w:rsidRPr="0071171F">
        <w:rPr>
          <w:rFonts w:ascii="Arial" w:hAnsi="Arial" w:cs="Arial"/>
        </w:rPr>
        <w:t xml:space="preserve"> </w:t>
      </w:r>
      <w:r w:rsidRPr="00E71EB7">
        <w:rPr>
          <w:rFonts w:ascii="Arial" w:hAnsi="Arial" w:cs="Arial"/>
        </w:rPr>
        <w:t xml:space="preserve">The landbank based on </w:t>
      </w:r>
      <w:proofErr w:type="gramStart"/>
      <w:r w:rsidRPr="00E71EB7">
        <w:rPr>
          <w:rFonts w:ascii="Arial" w:hAnsi="Arial" w:cs="Arial"/>
        </w:rPr>
        <w:t>ten year</w:t>
      </w:r>
      <w:proofErr w:type="gramEnd"/>
      <w:r w:rsidRPr="00E71EB7">
        <w:rPr>
          <w:rFonts w:ascii="Arial" w:hAnsi="Arial" w:cs="Arial"/>
        </w:rPr>
        <w:t xml:space="preserve"> average sales is </w:t>
      </w:r>
      <w:r w:rsidR="00E71EB7" w:rsidRPr="00E71EB7">
        <w:rPr>
          <w:rFonts w:ascii="Arial" w:hAnsi="Arial" w:cs="Arial"/>
        </w:rPr>
        <w:t xml:space="preserve">26 </w:t>
      </w:r>
      <w:r w:rsidRPr="00E71EB7">
        <w:rPr>
          <w:rFonts w:ascii="Arial" w:hAnsi="Arial" w:cs="Arial"/>
        </w:rPr>
        <w:t xml:space="preserve">years. The </w:t>
      </w:r>
      <w:proofErr w:type="gramStart"/>
      <w:r w:rsidRPr="00E71EB7">
        <w:rPr>
          <w:rFonts w:ascii="Arial" w:hAnsi="Arial" w:cs="Arial"/>
        </w:rPr>
        <w:t>three year</w:t>
      </w:r>
      <w:proofErr w:type="gramEnd"/>
      <w:r w:rsidRPr="00E71EB7">
        <w:rPr>
          <w:rFonts w:ascii="Arial" w:hAnsi="Arial" w:cs="Arial"/>
        </w:rPr>
        <w:t xml:space="preserve"> average landbank is</w:t>
      </w:r>
      <w:r w:rsidR="00A80C3A" w:rsidRPr="00E71EB7">
        <w:rPr>
          <w:rFonts w:ascii="Arial" w:hAnsi="Arial" w:cs="Arial"/>
        </w:rPr>
        <w:t xml:space="preserve"> </w:t>
      </w:r>
      <w:r w:rsidR="00E71EB7" w:rsidRPr="00E71EB7">
        <w:rPr>
          <w:rFonts w:ascii="Arial" w:hAnsi="Arial" w:cs="Arial"/>
        </w:rPr>
        <w:t>23</w:t>
      </w:r>
      <w:r w:rsidR="00A80C3A" w:rsidRPr="00E71EB7">
        <w:rPr>
          <w:rFonts w:ascii="Arial" w:hAnsi="Arial" w:cs="Arial"/>
        </w:rPr>
        <w:t xml:space="preserve"> </w:t>
      </w:r>
      <w:r w:rsidRPr="00E71EB7">
        <w:rPr>
          <w:rFonts w:ascii="Arial" w:hAnsi="Arial" w:cs="Arial"/>
        </w:rPr>
        <w:t xml:space="preserve">years and the fixed rate local plan annual provision landbank is </w:t>
      </w:r>
      <w:r w:rsidR="00E71EB7" w:rsidRPr="00E71EB7">
        <w:rPr>
          <w:rFonts w:ascii="Arial" w:hAnsi="Arial" w:cs="Arial"/>
        </w:rPr>
        <w:t>31</w:t>
      </w:r>
      <w:r w:rsidRPr="00E71EB7">
        <w:rPr>
          <w:rFonts w:ascii="Arial" w:hAnsi="Arial" w:cs="Arial"/>
        </w:rPr>
        <w:t xml:space="preserve"> years. </w:t>
      </w:r>
      <w:r w:rsidR="006C5365" w:rsidRPr="00E71EB7">
        <w:rPr>
          <w:rFonts w:ascii="Arial" w:hAnsi="Arial" w:cs="Arial"/>
        </w:rPr>
        <w:t>This</w:t>
      </w:r>
      <w:r w:rsidR="006C5365" w:rsidRPr="00A80C3A">
        <w:rPr>
          <w:rFonts w:ascii="Arial" w:hAnsi="Arial" w:cs="Arial"/>
        </w:rPr>
        <w:t xml:space="preserve"> is well above the </w:t>
      </w:r>
      <w:proofErr w:type="gramStart"/>
      <w:r w:rsidRPr="00A80C3A">
        <w:rPr>
          <w:rFonts w:ascii="Arial" w:hAnsi="Arial" w:cs="Arial"/>
        </w:rPr>
        <w:t>ten year</w:t>
      </w:r>
      <w:proofErr w:type="gramEnd"/>
      <w:r w:rsidRPr="00A80C3A">
        <w:rPr>
          <w:rFonts w:ascii="Arial" w:hAnsi="Arial" w:cs="Arial"/>
        </w:rPr>
        <w:t xml:space="preserve"> landbank requirement as set out in national policy</w:t>
      </w:r>
      <w:r w:rsidR="00D0320F" w:rsidRPr="00A80C3A">
        <w:rPr>
          <w:rFonts w:ascii="Arial" w:hAnsi="Arial" w:cs="Arial"/>
        </w:rPr>
        <w:t>, but decreasing annually</w:t>
      </w:r>
      <w:r w:rsidRPr="00A80C3A">
        <w:rPr>
          <w:rFonts w:ascii="Arial" w:hAnsi="Arial" w:cs="Arial"/>
        </w:rPr>
        <w:t>.</w:t>
      </w:r>
    </w:p>
    <w:p w14:paraId="0B5622AC" w14:textId="77777777" w:rsidR="00D44A25" w:rsidRPr="000956BD" w:rsidRDefault="00D44A25" w:rsidP="00D73374">
      <w:pPr>
        <w:spacing w:line="276" w:lineRule="auto"/>
        <w:rPr>
          <w:rFonts w:ascii="Arial" w:hAnsi="Arial" w:cs="Arial"/>
        </w:rPr>
      </w:pPr>
      <w:r w:rsidRPr="000956BD">
        <w:rPr>
          <w:rFonts w:ascii="Arial" w:hAnsi="Arial" w:cs="Arial"/>
          <w:b/>
          <w:bCs/>
        </w:rPr>
        <w:t>Security of Supply</w:t>
      </w:r>
      <w:r w:rsidRPr="000956BD">
        <w:rPr>
          <w:rFonts w:ascii="Arial" w:hAnsi="Arial" w:cs="Arial"/>
        </w:rPr>
        <w:t xml:space="preserve"> </w:t>
      </w:r>
    </w:p>
    <w:p w14:paraId="296343C4" w14:textId="5E47432C" w:rsidR="00B8351E" w:rsidRPr="00B8351E" w:rsidRDefault="00D44A25" w:rsidP="00D73374">
      <w:pPr>
        <w:spacing w:line="276" w:lineRule="auto"/>
        <w:rPr>
          <w:rFonts w:ascii="Arial" w:hAnsi="Arial" w:cs="Arial"/>
        </w:rPr>
      </w:pPr>
      <w:r w:rsidRPr="000956BD">
        <w:rPr>
          <w:rFonts w:ascii="Arial" w:hAnsi="Arial" w:cs="Arial"/>
        </w:rPr>
        <w:t xml:space="preserve">Security of </w:t>
      </w:r>
      <w:r w:rsidR="00DE077D" w:rsidRPr="000956BD">
        <w:rPr>
          <w:rFonts w:ascii="Arial" w:hAnsi="Arial" w:cs="Arial"/>
        </w:rPr>
        <w:t>s</w:t>
      </w:r>
      <w:r w:rsidRPr="000956BD">
        <w:rPr>
          <w:rFonts w:ascii="Arial" w:hAnsi="Arial" w:cs="Arial"/>
        </w:rPr>
        <w:t>upply for sharp sand and gravel always remains a concern locally, regionally and nationally</w:t>
      </w:r>
      <w:r w:rsidR="004D3CD5" w:rsidRPr="000956BD">
        <w:rPr>
          <w:rFonts w:ascii="Arial" w:hAnsi="Arial" w:cs="Arial"/>
        </w:rPr>
        <w:t xml:space="preserve"> with only a fraction of the reserve being sharp sand and gravel</w:t>
      </w:r>
      <w:r w:rsidRPr="000956BD">
        <w:rPr>
          <w:rFonts w:ascii="Arial" w:hAnsi="Arial" w:cs="Arial"/>
        </w:rPr>
        <w:t xml:space="preserve">. </w:t>
      </w:r>
      <w:r w:rsidR="00DE077D" w:rsidRPr="000956BD">
        <w:rPr>
          <w:rFonts w:ascii="Arial" w:hAnsi="Arial" w:cs="Arial"/>
        </w:rPr>
        <w:t xml:space="preserve">In terms of </w:t>
      </w:r>
      <w:r w:rsidR="004D3CD5" w:rsidRPr="000956BD">
        <w:rPr>
          <w:rFonts w:ascii="Arial" w:hAnsi="Arial" w:cs="Arial"/>
        </w:rPr>
        <w:t xml:space="preserve">security of supply for </w:t>
      </w:r>
      <w:r w:rsidR="00DE077D" w:rsidRPr="000956BD">
        <w:rPr>
          <w:rFonts w:ascii="Arial" w:hAnsi="Arial" w:cs="Arial"/>
        </w:rPr>
        <w:t>crushed rock</w:t>
      </w:r>
      <w:r w:rsidR="004D3CD5" w:rsidRPr="000956BD">
        <w:rPr>
          <w:rFonts w:ascii="Arial" w:hAnsi="Arial" w:cs="Arial"/>
        </w:rPr>
        <w:t xml:space="preserve"> local </w:t>
      </w:r>
      <w:r w:rsidR="00DE077D" w:rsidRPr="000956BD">
        <w:rPr>
          <w:rFonts w:ascii="Arial" w:hAnsi="Arial" w:cs="Arial"/>
        </w:rPr>
        <w:t xml:space="preserve">provision comes from </w:t>
      </w:r>
      <w:r w:rsidR="004D3CD5" w:rsidRPr="000956BD">
        <w:rPr>
          <w:rFonts w:ascii="Arial" w:hAnsi="Arial" w:cs="Arial"/>
        </w:rPr>
        <w:t>mainly</w:t>
      </w:r>
      <w:r w:rsidR="00DE077D" w:rsidRPr="000956BD">
        <w:rPr>
          <w:rFonts w:ascii="Arial" w:hAnsi="Arial" w:cs="Arial"/>
        </w:rPr>
        <w:t xml:space="preserve"> one site.</w:t>
      </w:r>
    </w:p>
    <w:tbl>
      <w:tblPr>
        <w:tblStyle w:val="TableGrid1"/>
        <w:tblW w:w="5000" w:type="pct"/>
        <w:tblLook w:val="04A0" w:firstRow="1" w:lastRow="0" w:firstColumn="1" w:lastColumn="0" w:noHBand="0" w:noVBand="1"/>
        <w:tblCaption w:val="Table showing mineral performance and comparison "/>
        <w:tblDescription w:val="Table showing mineral performance and comparison "/>
      </w:tblPr>
      <w:tblGrid>
        <w:gridCol w:w="2973"/>
        <w:gridCol w:w="2099"/>
        <w:gridCol w:w="1973"/>
        <w:gridCol w:w="1971"/>
      </w:tblGrid>
      <w:tr w:rsidR="00681D76" w:rsidRPr="00B8351E" w14:paraId="673DACEB" w14:textId="77777777" w:rsidTr="00BC54D8">
        <w:trPr>
          <w:tblHeader/>
        </w:trPr>
        <w:tc>
          <w:tcPr>
            <w:tcW w:w="1649" w:type="pct"/>
            <w:tcBorders>
              <w:top w:val="single" w:sz="4" w:space="0" w:color="auto"/>
              <w:left w:val="single" w:sz="4" w:space="0" w:color="auto"/>
              <w:bottom w:val="single" w:sz="4" w:space="0" w:color="auto"/>
              <w:right w:val="single" w:sz="4" w:space="0" w:color="auto"/>
            </w:tcBorders>
            <w:shd w:val="clear" w:color="auto" w:fill="000000" w:themeFill="text1"/>
          </w:tcPr>
          <w:p w14:paraId="602B87E0" w14:textId="77777777" w:rsidR="00681D76" w:rsidRPr="00940F0D" w:rsidRDefault="00681D76" w:rsidP="00681D76">
            <w:pPr>
              <w:spacing w:line="276" w:lineRule="auto"/>
              <w:jc w:val="center"/>
              <w:rPr>
                <w:rFonts w:ascii="Arial" w:hAnsi="Arial" w:cs="Arial"/>
                <w:b/>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14:paraId="010875C5" w14:textId="15734CDF" w:rsidR="00681D76" w:rsidRPr="006D4163" w:rsidRDefault="00681D76" w:rsidP="00681D76">
            <w:pPr>
              <w:spacing w:line="276" w:lineRule="auto"/>
              <w:jc w:val="center"/>
              <w:rPr>
                <w:rFonts w:ascii="Arial" w:hAnsi="Arial" w:cs="Arial"/>
                <w:b/>
                <w:sz w:val="20"/>
                <w:szCs w:val="20"/>
              </w:rPr>
            </w:pPr>
            <w:r w:rsidRPr="006D4163">
              <w:rPr>
                <w:rFonts w:ascii="Arial" w:hAnsi="Arial" w:cs="Arial"/>
                <w:b/>
                <w:sz w:val="20"/>
                <w:szCs w:val="20"/>
              </w:rPr>
              <w:t>Performance in 2022</w:t>
            </w:r>
          </w:p>
        </w:tc>
        <w:tc>
          <w:tcPr>
            <w:tcW w:w="1094" w:type="pct"/>
            <w:tcBorders>
              <w:top w:val="single" w:sz="4" w:space="0" w:color="auto"/>
              <w:left w:val="single" w:sz="4" w:space="0" w:color="auto"/>
              <w:bottom w:val="single" w:sz="4" w:space="0" w:color="auto"/>
              <w:right w:val="single" w:sz="4" w:space="0" w:color="auto"/>
            </w:tcBorders>
          </w:tcPr>
          <w:p w14:paraId="3C9AAE6E" w14:textId="0914DDC5" w:rsidR="00681D76" w:rsidRPr="006D4163" w:rsidRDefault="00681D76" w:rsidP="00681D76">
            <w:pPr>
              <w:spacing w:line="276" w:lineRule="auto"/>
              <w:jc w:val="center"/>
              <w:rPr>
                <w:rFonts w:ascii="Arial" w:hAnsi="Arial" w:cs="Arial"/>
                <w:b/>
                <w:sz w:val="20"/>
                <w:szCs w:val="20"/>
              </w:rPr>
            </w:pPr>
            <w:r w:rsidRPr="006D4163">
              <w:rPr>
                <w:rFonts w:ascii="Arial" w:hAnsi="Arial" w:cs="Arial"/>
                <w:b/>
                <w:sz w:val="20"/>
                <w:szCs w:val="20"/>
              </w:rPr>
              <w:t>Performance in 2023</w:t>
            </w:r>
          </w:p>
        </w:tc>
        <w:tc>
          <w:tcPr>
            <w:tcW w:w="1093" w:type="pct"/>
            <w:tcBorders>
              <w:top w:val="single" w:sz="4" w:space="0" w:color="auto"/>
              <w:left w:val="single" w:sz="4" w:space="0" w:color="auto"/>
              <w:bottom w:val="single" w:sz="4" w:space="0" w:color="auto"/>
              <w:right w:val="single" w:sz="4" w:space="0" w:color="auto"/>
            </w:tcBorders>
            <w:hideMark/>
          </w:tcPr>
          <w:p w14:paraId="15227DB8" w14:textId="77777777" w:rsidR="00681D76" w:rsidRPr="00B8351E" w:rsidRDefault="00681D76" w:rsidP="00681D76">
            <w:pPr>
              <w:spacing w:line="276" w:lineRule="auto"/>
              <w:jc w:val="center"/>
              <w:rPr>
                <w:rFonts w:ascii="Arial" w:hAnsi="Arial" w:cs="Arial"/>
                <w:b/>
                <w:color w:val="001C3E"/>
                <w:sz w:val="20"/>
                <w:szCs w:val="20"/>
              </w:rPr>
            </w:pPr>
            <w:r w:rsidRPr="00940F0D">
              <w:rPr>
                <w:rFonts w:ascii="Arial" w:hAnsi="Arial" w:cs="Arial"/>
                <w:b/>
                <w:sz w:val="20"/>
                <w:szCs w:val="20"/>
              </w:rPr>
              <w:t>In comparison to previous year (Mt)</w:t>
            </w:r>
          </w:p>
        </w:tc>
      </w:tr>
      <w:tr w:rsidR="00681D76" w:rsidRPr="00B8351E" w14:paraId="6A50A22E" w14:textId="77777777" w:rsidTr="009A3928">
        <w:tc>
          <w:tcPr>
            <w:tcW w:w="1649" w:type="pct"/>
            <w:tcBorders>
              <w:top w:val="single" w:sz="4" w:space="0" w:color="auto"/>
              <w:left w:val="single" w:sz="4" w:space="0" w:color="auto"/>
              <w:bottom w:val="single" w:sz="4" w:space="0" w:color="auto"/>
              <w:right w:val="single" w:sz="4" w:space="0" w:color="auto"/>
            </w:tcBorders>
            <w:hideMark/>
          </w:tcPr>
          <w:p w14:paraId="441FB299" w14:textId="77777777" w:rsidR="00681D76" w:rsidRPr="00940F0D" w:rsidRDefault="00681D76" w:rsidP="00681D76">
            <w:pPr>
              <w:spacing w:line="276" w:lineRule="auto"/>
              <w:jc w:val="center"/>
              <w:rPr>
                <w:rFonts w:ascii="Arial" w:hAnsi="Arial" w:cs="Arial"/>
                <w:sz w:val="20"/>
                <w:szCs w:val="20"/>
              </w:rPr>
            </w:pPr>
            <w:r w:rsidRPr="00940F0D">
              <w:rPr>
                <w:rFonts w:ascii="Arial" w:hAnsi="Arial" w:cs="Arial"/>
                <w:sz w:val="20"/>
                <w:szCs w:val="20"/>
              </w:rPr>
              <w:t>Land won sand and gravel sales (tonnes)</w:t>
            </w:r>
          </w:p>
          <w:p w14:paraId="0F1381C2" w14:textId="77777777" w:rsidR="00681D76" w:rsidRPr="00940F0D" w:rsidRDefault="00681D76" w:rsidP="00681D76">
            <w:pPr>
              <w:spacing w:line="276" w:lineRule="auto"/>
              <w:jc w:val="center"/>
              <w:rPr>
                <w:rFonts w:ascii="Arial" w:hAnsi="Arial" w:cs="Arial"/>
                <w:sz w:val="20"/>
                <w:szCs w:val="20"/>
              </w:rPr>
            </w:pPr>
            <w:r w:rsidRPr="00940F0D">
              <w:rPr>
                <w:rFonts w:ascii="Arial" w:hAnsi="Arial" w:cs="Arial"/>
                <w:sz w:val="20"/>
                <w:szCs w:val="20"/>
              </w:rPr>
              <w:t>(mostly soft sand)</w:t>
            </w:r>
          </w:p>
        </w:tc>
        <w:tc>
          <w:tcPr>
            <w:tcW w:w="1164" w:type="pct"/>
            <w:tcBorders>
              <w:top w:val="single" w:sz="4" w:space="0" w:color="auto"/>
              <w:left w:val="single" w:sz="4" w:space="0" w:color="auto"/>
              <w:bottom w:val="single" w:sz="4" w:space="0" w:color="auto"/>
              <w:right w:val="single" w:sz="4" w:space="0" w:color="auto"/>
            </w:tcBorders>
          </w:tcPr>
          <w:p w14:paraId="7A65B1B6" w14:textId="0AA95479" w:rsidR="00681D76" w:rsidRPr="00681D76" w:rsidRDefault="00681D76" w:rsidP="00681D76">
            <w:pPr>
              <w:spacing w:line="276" w:lineRule="auto"/>
              <w:jc w:val="center"/>
              <w:rPr>
                <w:rFonts w:ascii="Arial" w:hAnsi="Arial" w:cs="Arial"/>
                <w:sz w:val="20"/>
                <w:szCs w:val="20"/>
              </w:rPr>
            </w:pPr>
            <w:r w:rsidRPr="00681D76">
              <w:rPr>
                <w:rFonts w:ascii="Arial" w:hAnsi="Arial" w:cs="Arial"/>
                <w:sz w:val="20"/>
                <w:szCs w:val="20"/>
              </w:rPr>
              <w:t>0.69Mt</w:t>
            </w:r>
          </w:p>
        </w:tc>
        <w:tc>
          <w:tcPr>
            <w:tcW w:w="1094" w:type="pct"/>
            <w:tcBorders>
              <w:top w:val="single" w:sz="4" w:space="0" w:color="auto"/>
              <w:left w:val="single" w:sz="4" w:space="0" w:color="auto"/>
              <w:bottom w:val="single" w:sz="4" w:space="0" w:color="auto"/>
              <w:right w:val="single" w:sz="4" w:space="0" w:color="auto"/>
            </w:tcBorders>
          </w:tcPr>
          <w:p w14:paraId="2A5F82D6" w14:textId="2C7F0DFA" w:rsidR="00681D76" w:rsidRPr="00945153" w:rsidRDefault="001351A7" w:rsidP="00681D76">
            <w:pPr>
              <w:spacing w:line="276" w:lineRule="auto"/>
              <w:jc w:val="center"/>
              <w:rPr>
                <w:rFonts w:ascii="Arial" w:hAnsi="Arial" w:cs="Arial"/>
                <w:sz w:val="20"/>
                <w:szCs w:val="20"/>
              </w:rPr>
            </w:pPr>
            <w:r w:rsidRPr="00945153">
              <w:rPr>
                <w:rFonts w:ascii="Arial" w:hAnsi="Arial" w:cs="Arial"/>
                <w:sz w:val="20"/>
                <w:szCs w:val="20"/>
              </w:rPr>
              <w:t>0.7</w:t>
            </w:r>
            <w:r w:rsidR="00B6364D">
              <w:rPr>
                <w:rFonts w:ascii="Arial" w:hAnsi="Arial" w:cs="Arial"/>
                <w:sz w:val="20"/>
                <w:szCs w:val="20"/>
              </w:rPr>
              <w:t>Mt</w:t>
            </w:r>
          </w:p>
        </w:tc>
        <w:tc>
          <w:tcPr>
            <w:tcW w:w="1093" w:type="pct"/>
            <w:tcBorders>
              <w:top w:val="single" w:sz="4" w:space="0" w:color="auto"/>
              <w:left w:val="single" w:sz="4" w:space="0" w:color="auto"/>
              <w:bottom w:val="single" w:sz="4" w:space="0" w:color="auto"/>
              <w:right w:val="single" w:sz="4" w:space="0" w:color="auto"/>
            </w:tcBorders>
          </w:tcPr>
          <w:p w14:paraId="2D2B1EFD" w14:textId="7C70FC1F" w:rsidR="00681D76" w:rsidRPr="00CC76EE" w:rsidRDefault="00CC76EE" w:rsidP="00681D76">
            <w:pPr>
              <w:spacing w:after="200" w:line="276" w:lineRule="auto"/>
              <w:jc w:val="center"/>
              <w:rPr>
                <w:rFonts w:ascii="Arial" w:hAnsi="Arial" w:cs="Arial"/>
                <w:b/>
                <w:bCs/>
                <w:color w:val="00B050"/>
                <w:sz w:val="24"/>
                <w:szCs w:val="24"/>
                <w:highlight w:val="yellow"/>
              </w:rPr>
            </w:pPr>
            <w:r w:rsidRPr="00073574">
              <w:rPr>
                <w:rFonts w:ascii="Arial" w:hAnsi="Arial" w:cs="Arial"/>
                <w:b/>
                <w:bCs/>
                <w:color w:val="00B050"/>
                <w:sz w:val="24"/>
                <w:szCs w:val="24"/>
              </w:rPr>
              <w:t>=</w:t>
            </w:r>
          </w:p>
        </w:tc>
      </w:tr>
      <w:tr w:rsidR="00681D76" w:rsidRPr="00B8351E" w14:paraId="392FCC65" w14:textId="77777777" w:rsidTr="009A3928">
        <w:tc>
          <w:tcPr>
            <w:tcW w:w="1649" w:type="pct"/>
            <w:tcBorders>
              <w:top w:val="single" w:sz="4" w:space="0" w:color="auto"/>
              <w:left w:val="single" w:sz="4" w:space="0" w:color="auto"/>
              <w:bottom w:val="single" w:sz="4" w:space="0" w:color="auto"/>
              <w:right w:val="single" w:sz="4" w:space="0" w:color="auto"/>
            </w:tcBorders>
            <w:hideMark/>
          </w:tcPr>
          <w:p w14:paraId="326AA97C" w14:textId="77777777" w:rsidR="00681D76" w:rsidRPr="00940F0D" w:rsidRDefault="00681D76" w:rsidP="00681D76">
            <w:pPr>
              <w:spacing w:line="276" w:lineRule="auto"/>
              <w:jc w:val="center"/>
              <w:rPr>
                <w:rFonts w:ascii="Arial" w:hAnsi="Arial" w:cs="Arial"/>
                <w:sz w:val="20"/>
                <w:szCs w:val="20"/>
              </w:rPr>
            </w:pPr>
            <w:r w:rsidRPr="00940F0D">
              <w:rPr>
                <w:rFonts w:ascii="Arial" w:hAnsi="Arial" w:cs="Arial"/>
                <w:sz w:val="20"/>
                <w:szCs w:val="20"/>
              </w:rPr>
              <w:t>Permitted reserves of sand &amp; gravel (tonnes)</w:t>
            </w:r>
          </w:p>
          <w:p w14:paraId="40F4CDAB" w14:textId="77777777" w:rsidR="00681D76" w:rsidRPr="00940F0D" w:rsidRDefault="00681D76" w:rsidP="00681D76">
            <w:pPr>
              <w:spacing w:line="276" w:lineRule="auto"/>
              <w:jc w:val="center"/>
              <w:rPr>
                <w:rFonts w:ascii="Arial" w:hAnsi="Arial" w:cs="Arial"/>
                <w:sz w:val="20"/>
                <w:szCs w:val="20"/>
              </w:rPr>
            </w:pPr>
            <w:r w:rsidRPr="00940F0D">
              <w:rPr>
                <w:rFonts w:ascii="Arial" w:hAnsi="Arial" w:cs="Arial"/>
                <w:sz w:val="20"/>
                <w:szCs w:val="20"/>
              </w:rPr>
              <w:t>(mostly soft sand)</w:t>
            </w:r>
          </w:p>
        </w:tc>
        <w:tc>
          <w:tcPr>
            <w:tcW w:w="1164" w:type="pct"/>
            <w:tcBorders>
              <w:top w:val="single" w:sz="4" w:space="0" w:color="auto"/>
              <w:left w:val="single" w:sz="4" w:space="0" w:color="auto"/>
              <w:bottom w:val="single" w:sz="4" w:space="0" w:color="auto"/>
              <w:right w:val="single" w:sz="4" w:space="0" w:color="auto"/>
            </w:tcBorders>
          </w:tcPr>
          <w:p w14:paraId="0A82E7E0" w14:textId="1D1A54F1" w:rsidR="00681D76" w:rsidRPr="00681D76" w:rsidRDefault="00681D76" w:rsidP="00681D76">
            <w:pPr>
              <w:spacing w:line="276" w:lineRule="auto"/>
              <w:jc w:val="center"/>
              <w:rPr>
                <w:rFonts w:ascii="Arial" w:hAnsi="Arial" w:cs="Arial"/>
                <w:sz w:val="20"/>
                <w:szCs w:val="20"/>
              </w:rPr>
            </w:pPr>
            <w:r w:rsidRPr="00681D76">
              <w:rPr>
                <w:rFonts w:ascii="Arial" w:hAnsi="Arial" w:cs="Arial"/>
                <w:sz w:val="20"/>
                <w:szCs w:val="20"/>
              </w:rPr>
              <w:t>7.1Mt</w:t>
            </w:r>
          </w:p>
        </w:tc>
        <w:tc>
          <w:tcPr>
            <w:tcW w:w="1094" w:type="pct"/>
            <w:tcBorders>
              <w:top w:val="single" w:sz="4" w:space="0" w:color="auto"/>
              <w:left w:val="single" w:sz="4" w:space="0" w:color="auto"/>
              <w:bottom w:val="single" w:sz="4" w:space="0" w:color="auto"/>
              <w:right w:val="single" w:sz="4" w:space="0" w:color="auto"/>
            </w:tcBorders>
          </w:tcPr>
          <w:p w14:paraId="5B062C2E" w14:textId="5FDBE147" w:rsidR="00681D76" w:rsidRPr="00945153" w:rsidRDefault="00945153" w:rsidP="00681D76">
            <w:pPr>
              <w:spacing w:line="276" w:lineRule="auto"/>
              <w:jc w:val="center"/>
              <w:rPr>
                <w:rFonts w:ascii="Arial" w:hAnsi="Arial" w:cs="Arial"/>
                <w:sz w:val="20"/>
                <w:szCs w:val="20"/>
              </w:rPr>
            </w:pPr>
            <w:r w:rsidRPr="00945153">
              <w:rPr>
                <w:rFonts w:ascii="Arial" w:hAnsi="Arial" w:cs="Arial"/>
                <w:sz w:val="20"/>
                <w:szCs w:val="20"/>
              </w:rPr>
              <w:t>6.1</w:t>
            </w:r>
            <w:r w:rsidR="00B6364D">
              <w:rPr>
                <w:rFonts w:ascii="Arial" w:hAnsi="Arial" w:cs="Arial"/>
                <w:sz w:val="20"/>
                <w:szCs w:val="20"/>
              </w:rPr>
              <w:t>Mt</w:t>
            </w:r>
          </w:p>
        </w:tc>
        <w:tc>
          <w:tcPr>
            <w:tcW w:w="1093" w:type="pct"/>
            <w:tcBorders>
              <w:top w:val="single" w:sz="4" w:space="0" w:color="auto"/>
              <w:left w:val="single" w:sz="4" w:space="0" w:color="auto"/>
              <w:bottom w:val="single" w:sz="4" w:space="0" w:color="auto"/>
              <w:right w:val="single" w:sz="4" w:space="0" w:color="auto"/>
            </w:tcBorders>
          </w:tcPr>
          <w:p w14:paraId="16D9B635" w14:textId="251F9561" w:rsidR="00681D76" w:rsidRPr="00534FE0" w:rsidRDefault="00945153" w:rsidP="00681D76">
            <w:pPr>
              <w:spacing w:after="200" w:line="276" w:lineRule="auto"/>
              <w:jc w:val="center"/>
              <w:rPr>
                <w:rFonts w:ascii="Arial" w:hAnsi="Arial" w:cs="Arial"/>
                <w:color w:val="FF0000"/>
                <w:sz w:val="18"/>
                <w:szCs w:val="18"/>
                <w:highlight w:val="yellow"/>
              </w:rPr>
            </w:pPr>
            <w:r w:rsidRPr="00945153">
              <w:rPr>
                <w:rFonts w:ascii="Arial" w:hAnsi="Arial" w:cs="Arial"/>
                <w:color w:val="FF0000"/>
                <w:sz w:val="24"/>
                <w:szCs w:val="24"/>
              </w:rPr>
              <w:t>▼</w:t>
            </w:r>
          </w:p>
        </w:tc>
      </w:tr>
      <w:tr w:rsidR="00681D76" w:rsidRPr="00B8351E" w14:paraId="4CA2ACFC" w14:textId="77777777" w:rsidTr="009A3928">
        <w:trPr>
          <w:trHeight w:val="321"/>
        </w:trPr>
        <w:tc>
          <w:tcPr>
            <w:tcW w:w="1649" w:type="pct"/>
            <w:tcBorders>
              <w:top w:val="single" w:sz="4" w:space="0" w:color="auto"/>
              <w:left w:val="single" w:sz="4" w:space="0" w:color="auto"/>
              <w:bottom w:val="single" w:sz="4" w:space="0" w:color="auto"/>
              <w:right w:val="single" w:sz="4" w:space="0" w:color="auto"/>
            </w:tcBorders>
            <w:hideMark/>
          </w:tcPr>
          <w:p w14:paraId="79C120EB" w14:textId="77777777" w:rsidR="00681D76" w:rsidRDefault="00681D76" w:rsidP="00681D76">
            <w:pPr>
              <w:spacing w:line="276" w:lineRule="auto"/>
              <w:jc w:val="center"/>
              <w:rPr>
                <w:rFonts w:ascii="Arial" w:hAnsi="Arial" w:cs="Arial"/>
                <w:sz w:val="20"/>
                <w:szCs w:val="20"/>
              </w:rPr>
            </w:pPr>
            <w:r w:rsidRPr="00940F0D">
              <w:rPr>
                <w:rFonts w:ascii="Arial" w:hAnsi="Arial" w:cs="Arial"/>
                <w:sz w:val="20"/>
                <w:szCs w:val="20"/>
              </w:rPr>
              <w:t>Sand and gravel landbank</w:t>
            </w:r>
            <w:r w:rsidRPr="00940F0D">
              <w:rPr>
                <w:rFonts w:ascii="Arial" w:hAnsi="Arial" w:cs="Arial"/>
                <w:sz w:val="20"/>
                <w:szCs w:val="20"/>
                <w:vertAlign w:val="superscript"/>
              </w:rPr>
              <w:footnoteReference w:id="2"/>
            </w:r>
            <w:r w:rsidRPr="00940F0D">
              <w:rPr>
                <w:rFonts w:ascii="Arial" w:hAnsi="Arial" w:cs="Arial"/>
                <w:sz w:val="20"/>
                <w:szCs w:val="20"/>
              </w:rPr>
              <w:t xml:space="preserve"> (years)</w:t>
            </w:r>
          </w:p>
          <w:p w14:paraId="0118DC99" w14:textId="77777777" w:rsidR="00681D76" w:rsidRPr="007D7C64" w:rsidRDefault="00681D76" w:rsidP="00681D76">
            <w:pPr>
              <w:spacing w:line="276" w:lineRule="auto"/>
              <w:jc w:val="center"/>
              <w:rPr>
                <w:rFonts w:ascii="Arial" w:hAnsi="Arial" w:cs="Arial"/>
                <w:sz w:val="18"/>
                <w:szCs w:val="18"/>
              </w:rPr>
            </w:pPr>
            <w:r w:rsidRPr="007D7C64">
              <w:rPr>
                <w:rFonts w:ascii="Arial" w:hAnsi="Arial" w:cs="Arial"/>
                <w:sz w:val="18"/>
                <w:szCs w:val="18"/>
              </w:rPr>
              <w:t xml:space="preserve">(based on </w:t>
            </w:r>
            <w:proofErr w:type="gramStart"/>
            <w:r w:rsidRPr="007D7C64">
              <w:rPr>
                <w:rFonts w:ascii="Arial" w:hAnsi="Arial" w:cs="Arial"/>
                <w:sz w:val="18"/>
                <w:szCs w:val="18"/>
              </w:rPr>
              <w:t>ten year</w:t>
            </w:r>
            <w:proofErr w:type="gramEnd"/>
            <w:r w:rsidRPr="007D7C64">
              <w:rPr>
                <w:rFonts w:ascii="Arial" w:hAnsi="Arial" w:cs="Arial"/>
                <w:sz w:val="18"/>
                <w:szCs w:val="18"/>
              </w:rPr>
              <w:t xml:space="preserve"> average sales)</w:t>
            </w:r>
          </w:p>
        </w:tc>
        <w:tc>
          <w:tcPr>
            <w:tcW w:w="1164" w:type="pct"/>
            <w:tcBorders>
              <w:top w:val="single" w:sz="4" w:space="0" w:color="auto"/>
              <w:left w:val="single" w:sz="4" w:space="0" w:color="auto"/>
              <w:bottom w:val="single" w:sz="4" w:space="0" w:color="auto"/>
              <w:right w:val="single" w:sz="4" w:space="0" w:color="auto"/>
            </w:tcBorders>
          </w:tcPr>
          <w:p w14:paraId="31D38B8F" w14:textId="0012BC30" w:rsidR="00681D76" w:rsidRPr="00681D76" w:rsidRDefault="00681D76" w:rsidP="00681D76">
            <w:pPr>
              <w:spacing w:line="276" w:lineRule="auto"/>
              <w:jc w:val="center"/>
              <w:rPr>
                <w:rFonts w:ascii="Arial" w:hAnsi="Arial" w:cs="Arial"/>
                <w:sz w:val="20"/>
                <w:szCs w:val="20"/>
              </w:rPr>
            </w:pPr>
            <w:r w:rsidRPr="00681D76">
              <w:rPr>
                <w:rFonts w:ascii="Arial" w:hAnsi="Arial" w:cs="Arial"/>
                <w:sz w:val="20"/>
                <w:szCs w:val="20"/>
              </w:rPr>
              <w:t>16. years</w:t>
            </w:r>
          </w:p>
        </w:tc>
        <w:tc>
          <w:tcPr>
            <w:tcW w:w="1094" w:type="pct"/>
            <w:tcBorders>
              <w:top w:val="single" w:sz="4" w:space="0" w:color="auto"/>
              <w:left w:val="single" w:sz="4" w:space="0" w:color="auto"/>
              <w:bottom w:val="single" w:sz="4" w:space="0" w:color="auto"/>
              <w:right w:val="single" w:sz="4" w:space="0" w:color="auto"/>
            </w:tcBorders>
          </w:tcPr>
          <w:p w14:paraId="1B9DCCB6" w14:textId="5929DC8B" w:rsidR="00681D76" w:rsidRPr="00945153" w:rsidRDefault="0098308B" w:rsidP="00681D76">
            <w:pPr>
              <w:spacing w:after="200" w:line="276" w:lineRule="auto"/>
              <w:jc w:val="center"/>
              <w:rPr>
                <w:rFonts w:ascii="Arial" w:hAnsi="Arial" w:cs="Arial"/>
                <w:sz w:val="20"/>
                <w:szCs w:val="20"/>
              </w:rPr>
            </w:pPr>
            <w:r>
              <w:rPr>
                <w:rFonts w:ascii="Arial" w:hAnsi="Arial" w:cs="Arial"/>
                <w:sz w:val="20"/>
                <w:szCs w:val="20"/>
              </w:rPr>
              <w:t>13</w:t>
            </w:r>
            <w:r w:rsidR="00B6364D">
              <w:rPr>
                <w:rFonts w:ascii="Arial" w:hAnsi="Arial" w:cs="Arial"/>
                <w:sz w:val="20"/>
                <w:szCs w:val="20"/>
              </w:rPr>
              <w:t xml:space="preserve"> years</w:t>
            </w:r>
          </w:p>
        </w:tc>
        <w:tc>
          <w:tcPr>
            <w:tcW w:w="1093" w:type="pct"/>
            <w:tcBorders>
              <w:top w:val="single" w:sz="4" w:space="0" w:color="auto"/>
              <w:left w:val="single" w:sz="4" w:space="0" w:color="auto"/>
              <w:bottom w:val="single" w:sz="4" w:space="0" w:color="auto"/>
              <w:right w:val="single" w:sz="4" w:space="0" w:color="auto"/>
            </w:tcBorders>
          </w:tcPr>
          <w:p w14:paraId="0FC32658" w14:textId="047E3588" w:rsidR="00681D76" w:rsidRPr="008C15CC" w:rsidRDefault="00E60D8B" w:rsidP="00681D76">
            <w:pPr>
              <w:spacing w:after="200" w:line="276" w:lineRule="auto"/>
              <w:jc w:val="center"/>
              <w:rPr>
                <w:rFonts w:ascii="Arial" w:hAnsi="Arial" w:cs="Arial"/>
                <w:color w:val="FF0000"/>
                <w:sz w:val="24"/>
                <w:szCs w:val="24"/>
                <w:highlight w:val="yellow"/>
              </w:rPr>
            </w:pPr>
            <w:r w:rsidRPr="00945153">
              <w:rPr>
                <w:rFonts w:ascii="Arial" w:hAnsi="Arial" w:cs="Arial"/>
                <w:color w:val="FF0000"/>
                <w:sz w:val="24"/>
                <w:szCs w:val="24"/>
              </w:rPr>
              <w:t>▼</w:t>
            </w:r>
          </w:p>
        </w:tc>
      </w:tr>
      <w:tr w:rsidR="00681D76" w:rsidRPr="00B8351E" w14:paraId="481ABEDF" w14:textId="77777777" w:rsidTr="009A3928">
        <w:trPr>
          <w:trHeight w:val="321"/>
        </w:trPr>
        <w:tc>
          <w:tcPr>
            <w:tcW w:w="1649" w:type="pct"/>
            <w:tcBorders>
              <w:top w:val="single" w:sz="4" w:space="0" w:color="auto"/>
              <w:left w:val="single" w:sz="4" w:space="0" w:color="auto"/>
              <w:bottom w:val="single" w:sz="4" w:space="0" w:color="auto"/>
              <w:right w:val="single" w:sz="4" w:space="0" w:color="auto"/>
            </w:tcBorders>
          </w:tcPr>
          <w:p w14:paraId="17D32BC9" w14:textId="77777777" w:rsidR="00681D76" w:rsidRDefault="00681D76" w:rsidP="00681D76">
            <w:pPr>
              <w:spacing w:line="276" w:lineRule="auto"/>
              <w:jc w:val="center"/>
              <w:rPr>
                <w:rFonts w:ascii="Arial" w:hAnsi="Arial" w:cs="Arial"/>
                <w:sz w:val="20"/>
                <w:szCs w:val="20"/>
              </w:rPr>
            </w:pPr>
            <w:r w:rsidRPr="00940F0D">
              <w:rPr>
                <w:rFonts w:ascii="Arial" w:hAnsi="Arial" w:cs="Arial"/>
                <w:sz w:val="20"/>
                <w:szCs w:val="20"/>
              </w:rPr>
              <w:t>Sand and gravel landbank (years)</w:t>
            </w:r>
          </w:p>
          <w:p w14:paraId="1B436CED" w14:textId="77777777" w:rsidR="00681D76" w:rsidRPr="00940F0D" w:rsidRDefault="00681D76" w:rsidP="00681D76">
            <w:pPr>
              <w:spacing w:line="276" w:lineRule="auto"/>
              <w:jc w:val="center"/>
              <w:rPr>
                <w:rFonts w:ascii="Arial" w:hAnsi="Arial" w:cs="Arial"/>
                <w:sz w:val="20"/>
                <w:szCs w:val="20"/>
              </w:rPr>
            </w:pPr>
            <w:r>
              <w:rPr>
                <w:rFonts w:ascii="Arial" w:hAnsi="Arial" w:cs="Arial"/>
                <w:sz w:val="18"/>
                <w:szCs w:val="18"/>
              </w:rPr>
              <w:t xml:space="preserve">(based on </w:t>
            </w:r>
            <w:proofErr w:type="gramStart"/>
            <w:r>
              <w:rPr>
                <w:rFonts w:ascii="Arial" w:hAnsi="Arial" w:cs="Arial"/>
                <w:sz w:val="18"/>
                <w:szCs w:val="18"/>
              </w:rPr>
              <w:t>3</w:t>
            </w:r>
            <w:r w:rsidRPr="007D7C64">
              <w:rPr>
                <w:rFonts w:ascii="Arial" w:hAnsi="Arial" w:cs="Arial"/>
                <w:sz w:val="18"/>
                <w:szCs w:val="18"/>
              </w:rPr>
              <w:t xml:space="preserve"> year</w:t>
            </w:r>
            <w:proofErr w:type="gramEnd"/>
            <w:r w:rsidRPr="007D7C64">
              <w:rPr>
                <w:rFonts w:ascii="Arial" w:hAnsi="Arial" w:cs="Arial"/>
                <w:sz w:val="18"/>
                <w:szCs w:val="18"/>
              </w:rPr>
              <w:t xml:space="preserve"> average sales)</w:t>
            </w:r>
          </w:p>
        </w:tc>
        <w:tc>
          <w:tcPr>
            <w:tcW w:w="1164" w:type="pct"/>
            <w:tcBorders>
              <w:top w:val="single" w:sz="4" w:space="0" w:color="auto"/>
              <w:left w:val="single" w:sz="4" w:space="0" w:color="auto"/>
              <w:bottom w:val="single" w:sz="4" w:space="0" w:color="auto"/>
              <w:right w:val="single" w:sz="4" w:space="0" w:color="auto"/>
            </w:tcBorders>
          </w:tcPr>
          <w:p w14:paraId="04B68EB4" w14:textId="2FDBE696" w:rsidR="00681D76" w:rsidRPr="00681D76" w:rsidRDefault="00681D76" w:rsidP="00681D76">
            <w:pPr>
              <w:spacing w:line="276" w:lineRule="auto"/>
              <w:jc w:val="center"/>
              <w:rPr>
                <w:rFonts w:ascii="Arial" w:hAnsi="Arial" w:cs="Arial"/>
                <w:sz w:val="20"/>
                <w:szCs w:val="20"/>
              </w:rPr>
            </w:pPr>
            <w:r w:rsidRPr="00681D76">
              <w:rPr>
                <w:rFonts w:ascii="Arial" w:hAnsi="Arial" w:cs="Arial"/>
                <w:sz w:val="20"/>
                <w:szCs w:val="20"/>
              </w:rPr>
              <w:t>12.4 years</w:t>
            </w:r>
          </w:p>
        </w:tc>
        <w:tc>
          <w:tcPr>
            <w:tcW w:w="1094" w:type="pct"/>
            <w:tcBorders>
              <w:top w:val="single" w:sz="4" w:space="0" w:color="auto"/>
              <w:left w:val="single" w:sz="4" w:space="0" w:color="auto"/>
              <w:bottom w:val="single" w:sz="4" w:space="0" w:color="auto"/>
              <w:right w:val="single" w:sz="4" w:space="0" w:color="auto"/>
            </w:tcBorders>
          </w:tcPr>
          <w:p w14:paraId="6A8D3142" w14:textId="1C205C6C" w:rsidR="00681D76" w:rsidRPr="00945153" w:rsidRDefault="0098308B" w:rsidP="00681D76">
            <w:pPr>
              <w:spacing w:after="200" w:line="276" w:lineRule="auto"/>
              <w:jc w:val="center"/>
              <w:rPr>
                <w:rFonts w:ascii="Arial" w:hAnsi="Arial" w:cs="Arial"/>
                <w:sz w:val="20"/>
                <w:szCs w:val="20"/>
              </w:rPr>
            </w:pPr>
            <w:r>
              <w:rPr>
                <w:rFonts w:ascii="Arial" w:hAnsi="Arial" w:cs="Arial"/>
                <w:sz w:val="20"/>
                <w:szCs w:val="20"/>
              </w:rPr>
              <w:t>11</w:t>
            </w:r>
            <w:r w:rsidR="00B6364D">
              <w:rPr>
                <w:rFonts w:ascii="Arial" w:hAnsi="Arial" w:cs="Arial"/>
                <w:sz w:val="20"/>
                <w:szCs w:val="20"/>
              </w:rPr>
              <w:t xml:space="preserve"> years</w:t>
            </w:r>
          </w:p>
        </w:tc>
        <w:tc>
          <w:tcPr>
            <w:tcW w:w="1093" w:type="pct"/>
            <w:tcBorders>
              <w:top w:val="single" w:sz="4" w:space="0" w:color="auto"/>
              <w:left w:val="single" w:sz="4" w:space="0" w:color="auto"/>
              <w:bottom w:val="single" w:sz="4" w:space="0" w:color="auto"/>
              <w:right w:val="single" w:sz="4" w:space="0" w:color="auto"/>
            </w:tcBorders>
          </w:tcPr>
          <w:p w14:paraId="45A78EB6" w14:textId="78D863F7" w:rsidR="00681D76" w:rsidRPr="00296D0E" w:rsidRDefault="00E60D8B" w:rsidP="00681D76">
            <w:pPr>
              <w:spacing w:after="200" w:line="276" w:lineRule="auto"/>
              <w:jc w:val="center"/>
              <w:rPr>
                <w:rFonts w:ascii="Arial" w:hAnsi="Arial" w:cs="Arial"/>
                <w:color w:val="FF0000"/>
                <w:sz w:val="18"/>
                <w:szCs w:val="18"/>
                <w:highlight w:val="yellow"/>
              </w:rPr>
            </w:pPr>
            <w:r w:rsidRPr="00945153">
              <w:rPr>
                <w:rFonts w:ascii="Arial" w:hAnsi="Arial" w:cs="Arial"/>
                <w:color w:val="FF0000"/>
                <w:sz w:val="24"/>
                <w:szCs w:val="24"/>
              </w:rPr>
              <w:t>▼</w:t>
            </w:r>
          </w:p>
        </w:tc>
      </w:tr>
      <w:tr w:rsidR="00681D76" w:rsidRPr="00B8351E" w14:paraId="537A9972" w14:textId="77777777" w:rsidTr="009A3928">
        <w:trPr>
          <w:trHeight w:val="321"/>
        </w:trPr>
        <w:tc>
          <w:tcPr>
            <w:tcW w:w="1649" w:type="pct"/>
            <w:tcBorders>
              <w:top w:val="single" w:sz="4" w:space="0" w:color="auto"/>
              <w:left w:val="single" w:sz="4" w:space="0" w:color="auto"/>
              <w:bottom w:val="single" w:sz="4" w:space="0" w:color="auto"/>
              <w:right w:val="single" w:sz="4" w:space="0" w:color="auto"/>
            </w:tcBorders>
          </w:tcPr>
          <w:p w14:paraId="45195A49" w14:textId="77777777" w:rsidR="00681D76" w:rsidRPr="00F504EB" w:rsidRDefault="00681D76" w:rsidP="00681D76">
            <w:pPr>
              <w:spacing w:line="276" w:lineRule="auto"/>
              <w:jc w:val="center"/>
              <w:rPr>
                <w:rFonts w:ascii="Arial" w:hAnsi="Arial" w:cs="Arial"/>
                <w:b/>
                <w:sz w:val="20"/>
                <w:szCs w:val="20"/>
              </w:rPr>
            </w:pPr>
            <w:r w:rsidRPr="00F504EB">
              <w:rPr>
                <w:rFonts w:ascii="Arial" w:hAnsi="Arial" w:cs="Arial"/>
                <w:b/>
                <w:sz w:val="20"/>
                <w:szCs w:val="20"/>
              </w:rPr>
              <w:t>Sand and gravel landbank (years)</w:t>
            </w:r>
          </w:p>
          <w:p w14:paraId="78A98439" w14:textId="07F2DD58" w:rsidR="00681D76" w:rsidRPr="00940F0D" w:rsidRDefault="00681D76" w:rsidP="00681D76">
            <w:pPr>
              <w:spacing w:line="276" w:lineRule="auto"/>
              <w:jc w:val="center"/>
              <w:rPr>
                <w:rFonts w:ascii="Arial" w:hAnsi="Arial" w:cs="Arial"/>
                <w:sz w:val="20"/>
                <w:szCs w:val="20"/>
              </w:rPr>
            </w:pPr>
            <w:r w:rsidRPr="00F504EB">
              <w:rPr>
                <w:rFonts w:ascii="Arial" w:hAnsi="Arial" w:cs="Arial"/>
                <w:b/>
                <w:sz w:val="18"/>
                <w:szCs w:val="18"/>
              </w:rPr>
              <w:t>(using lo</w:t>
            </w:r>
            <w:r>
              <w:rPr>
                <w:rFonts w:ascii="Arial" w:hAnsi="Arial" w:cs="Arial"/>
                <w:b/>
                <w:sz w:val="18"/>
                <w:szCs w:val="18"/>
              </w:rPr>
              <w:t>cal provision of 0.42Mt</w:t>
            </w:r>
            <w:r w:rsidRPr="00F504EB">
              <w:rPr>
                <w:rFonts w:ascii="Arial" w:hAnsi="Arial" w:cs="Arial"/>
                <w:b/>
                <w:sz w:val="18"/>
                <w:szCs w:val="18"/>
              </w:rPr>
              <w:t>)</w:t>
            </w:r>
          </w:p>
        </w:tc>
        <w:tc>
          <w:tcPr>
            <w:tcW w:w="1164" w:type="pct"/>
            <w:tcBorders>
              <w:top w:val="single" w:sz="4" w:space="0" w:color="auto"/>
              <w:left w:val="single" w:sz="4" w:space="0" w:color="auto"/>
              <w:bottom w:val="single" w:sz="4" w:space="0" w:color="auto"/>
              <w:right w:val="single" w:sz="4" w:space="0" w:color="auto"/>
            </w:tcBorders>
          </w:tcPr>
          <w:p w14:paraId="1A427984" w14:textId="2229E69B" w:rsidR="00681D76" w:rsidRPr="00681D76" w:rsidRDefault="00681D76" w:rsidP="00681D76">
            <w:pPr>
              <w:spacing w:line="276" w:lineRule="auto"/>
              <w:jc w:val="center"/>
              <w:rPr>
                <w:rFonts w:ascii="Arial" w:hAnsi="Arial" w:cs="Arial"/>
                <w:b/>
                <w:sz w:val="20"/>
                <w:szCs w:val="20"/>
              </w:rPr>
            </w:pPr>
            <w:r w:rsidRPr="00681D76">
              <w:rPr>
                <w:rFonts w:ascii="Arial" w:hAnsi="Arial" w:cs="Arial"/>
                <w:sz w:val="20"/>
                <w:szCs w:val="20"/>
              </w:rPr>
              <w:t>16.9 years</w:t>
            </w:r>
          </w:p>
        </w:tc>
        <w:tc>
          <w:tcPr>
            <w:tcW w:w="1094" w:type="pct"/>
            <w:tcBorders>
              <w:top w:val="single" w:sz="4" w:space="0" w:color="auto"/>
              <w:left w:val="single" w:sz="4" w:space="0" w:color="auto"/>
              <w:bottom w:val="single" w:sz="4" w:space="0" w:color="auto"/>
              <w:right w:val="single" w:sz="4" w:space="0" w:color="auto"/>
            </w:tcBorders>
          </w:tcPr>
          <w:p w14:paraId="033C8BB5" w14:textId="5F520213" w:rsidR="00681D76" w:rsidRPr="00945153" w:rsidRDefault="0098308B" w:rsidP="00681D76">
            <w:pPr>
              <w:spacing w:after="200" w:line="276" w:lineRule="auto"/>
              <w:jc w:val="center"/>
              <w:rPr>
                <w:rFonts w:ascii="Arial" w:hAnsi="Arial" w:cs="Arial"/>
                <w:b/>
                <w:sz w:val="20"/>
                <w:szCs w:val="20"/>
              </w:rPr>
            </w:pPr>
            <w:r>
              <w:rPr>
                <w:rFonts w:ascii="Arial" w:hAnsi="Arial" w:cs="Arial"/>
                <w:b/>
                <w:sz w:val="20"/>
                <w:szCs w:val="20"/>
              </w:rPr>
              <w:t>15</w:t>
            </w:r>
            <w:r w:rsidR="00B6364D">
              <w:rPr>
                <w:rFonts w:ascii="Arial" w:hAnsi="Arial" w:cs="Arial"/>
                <w:b/>
                <w:sz w:val="20"/>
                <w:szCs w:val="20"/>
              </w:rPr>
              <w:t xml:space="preserve"> </w:t>
            </w:r>
            <w:r w:rsidR="00B6364D">
              <w:rPr>
                <w:rFonts w:ascii="Arial" w:hAnsi="Arial" w:cs="Arial"/>
                <w:sz w:val="20"/>
                <w:szCs w:val="20"/>
              </w:rPr>
              <w:t>years</w:t>
            </w:r>
          </w:p>
        </w:tc>
        <w:tc>
          <w:tcPr>
            <w:tcW w:w="1093" w:type="pct"/>
            <w:tcBorders>
              <w:top w:val="single" w:sz="4" w:space="0" w:color="auto"/>
              <w:left w:val="single" w:sz="4" w:space="0" w:color="auto"/>
              <w:bottom w:val="single" w:sz="4" w:space="0" w:color="auto"/>
              <w:right w:val="single" w:sz="4" w:space="0" w:color="auto"/>
            </w:tcBorders>
          </w:tcPr>
          <w:p w14:paraId="44C84E8F" w14:textId="362FB6EA" w:rsidR="00681D76" w:rsidRPr="008C15CC" w:rsidRDefault="00073574" w:rsidP="00681D76">
            <w:pPr>
              <w:spacing w:after="200" w:line="276" w:lineRule="auto"/>
              <w:jc w:val="center"/>
              <w:rPr>
                <w:rFonts w:ascii="Arial" w:hAnsi="Arial" w:cs="Arial"/>
                <w:b/>
                <w:color w:val="FF0000"/>
                <w:sz w:val="20"/>
                <w:szCs w:val="20"/>
                <w:highlight w:val="yellow"/>
              </w:rPr>
            </w:pPr>
            <w:r w:rsidRPr="00945153">
              <w:rPr>
                <w:rFonts w:ascii="Arial" w:hAnsi="Arial" w:cs="Arial"/>
                <w:color w:val="FF0000"/>
                <w:sz w:val="24"/>
                <w:szCs w:val="24"/>
              </w:rPr>
              <w:t>▼</w:t>
            </w:r>
          </w:p>
        </w:tc>
      </w:tr>
      <w:tr w:rsidR="00681D76" w:rsidRPr="00B8351E" w14:paraId="46C37EB8" w14:textId="77777777" w:rsidTr="009A3928">
        <w:trPr>
          <w:trHeight w:val="272"/>
        </w:trPr>
        <w:tc>
          <w:tcPr>
            <w:tcW w:w="1649" w:type="pct"/>
            <w:tcBorders>
              <w:top w:val="single" w:sz="4" w:space="0" w:color="auto"/>
              <w:left w:val="single" w:sz="4" w:space="0" w:color="auto"/>
              <w:bottom w:val="single" w:sz="4" w:space="0" w:color="auto"/>
              <w:right w:val="single" w:sz="4" w:space="0" w:color="auto"/>
            </w:tcBorders>
            <w:hideMark/>
          </w:tcPr>
          <w:p w14:paraId="215D7E90" w14:textId="77777777" w:rsidR="00681D76" w:rsidRPr="00940F0D" w:rsidRDefault="00681D76" w:rsidP="00681D76">
            <w:pPr>
              <w:spacing w:line="276" w:lineRule="auto"/>
              <w:jc w:val="center"/>
              <w:rPr>
                <w:rFonts w:ascii="Arial" w:hAnsi="Arial" w:cs="Arial"/>
                <w:sz w:val="20"/>
                <w:szCs w:val="20"/>
              </w:rPr>
            </w:pPr>
            <w:r w:rsidRPr="00940F0D">
              <w:rPr>
                <w:rFonts w:ascii="Arial" w:hAnsi="Arial" w:cs="Arial"/>
                <w:sz w:val="20"/>
                <w:szCs w:val="20"/>
              </w:rPr>
              <w:t>Land won crushed rock sales (tonnes)</w:t>
            </w:r>
            <w:r>
              <w:rPr>
                <w:rFonts w:ascii="Arial" w:hAnsi="Arial" w:cs="Arial"/>
                <w:sz w:val="20"/>
                <w:szCs w:val="20"/>
              </w:rPr>
              <w:t xml:space="preserve"> </w:t>
            </w:r>
          </w:p>
        </w:tc>
        <w:tc>
          <w:tcPr>
            <w:tcW w:w="1164" w:type="pct"/>
            <w:tcBorders>
              <w:top w:val="single" w:sz="4" w:space="0" w:color="auto"/>
              <w:left w:val="single" w:sz="4" w:space="0" w:color="auto"/>
              <w:bottom w:val="single" w:sz="4" w:space="0" w:color="auto"/>
              <w:right w:val="single" w:sz="4" w:space="0" w:color="auto"/>
            </w:tcBorders>
          </w:tcPr>
          <w:p w14:paraId="1ACD0D1E" w14:textId="28E89662" w:rsidR="00681D76" w:rsidRPr="00681D76" w:rsidRDefault="00681D76" w:rsidP="00681D76">
            <w:pPr>
              <w:spacing w:line="276" w:lineRule="auto"/>
              <w:jc w:val="center"/>
              <w:rPr>
                <w:rFonts w:ascii="Arial" w:hAnsi="Arial" w:cs="Arial"/>
                <w:sz w:val="20"/>
                <w:szCs w:val="20"/>
              </w:rPr>
            </w:pPr>
            <w:r w:rsidRPr="00681D76">
              <w:rPr>
                <w:rFonts w:ascii="Arial" w:hAnsi="Arial" w:cs="Arial"/>
                <w:sz w:val="20"/>
                <w:szCs w:val="20"/>
              </w:rPr>
              <w:t>2.7Mt</w:t>
            </w:r>
          </w:p>
        </w:tc>
        <w:tc>
          <w:tcPr>
            <w:tcW w:w="1094" w:type="pct"/>
            <w:tcBorders>
              <w:top w:val="single" w:sz="4" w:space="0" w:color="auto"/>
              <w:left w:val="single" w:sz="4" w:space="0" w:color="auto"/>
              <w:bottom w:val="single" w:sz="4" w:space="0" w:color="auto"/>
              <w:right w:val="single" w:sz="4" w:space="0" w:color="auto"/>
            </w:tcBorders>
          </w:tcPr>
          <w:p w14:paraId="477CF138" w14:textId="2896EFA8" w:rsidR="00681D76" w:rsidRPr="00945153" w:rsidRDefault="00C83D44" w:rsidP="00681D76">
            <w:pPr>
              <w:spacing w:after="200" w:line="276" w:lineRule="auto"/>
              <w:jc w:val="center"/>
              <w:rPr>
                <w:rFonts w:ascii="Arial" w:hAnsi="Arial" w:cs="Arial"/>
                <w:sz w:val="20"/>
                <w:szCs w:val="20"/>
              </w:rPr>
            </w:pPr>
            <w:r>
              <w:rPr>
                <w:rFonts w:ascii="Arial" w:hAnsi="Arial" w:cs="Arial"/>
                <w:sz w:val="20"/>
                <w:szCs w:val="20"/>
              </w:rPr>
              <w:t>2.4</w:t>
            </w:r>
            <w:r w:rsidR="00CC76EE">
              <w:rPr>
                <w:rFonts w:ascii="Arial" w:hAnsi="Arial" w:cs="Arial"/>
                <w:sz w:val="20"/>
                <w:szCs w:val="20"/>
              </w:rPr>
              <w:t>Mt</w:t>
            </w:r>
          </w:p>
        </w:tc>
        <w:tc>
          <w:tcPr>
            <w:tcW w:w="1093" w:type="pct"/>
            <w:tcBorders>
              <w:top w:val="single" w:sz="4" w:space="0" w:color="auto"/>
              <w:left w:val="single" w:sz="4" w:space="0" w:color="auto"/>
              <w:bottom w:val="single" w:sz="4" w:space="0" w:color="auto"/>
              <w:right w:val="single" w:sz="4" w:space="0" w:color="auto"/>
            </w:tcBorders>
          </w:tcPr>
          <w:p w14:paraId="1F3EC976" w14:textId="411EBEC3" w:rsidR="00681D76" w:rsidRPr="0029444C" w:rsidRDefault="00681D76" w:rsidP="00681D76">
            <w:pPr>
              <w:spacing w:after="200" w:line="276" w:lineRule="auto"/>
              <w:jc w:val="center"/>
              <w:rPr>
                <w:rFonts w:ascii="Arial" w:hAnsi="Arial" w:cs="Arial"/>
                <w:color w:val="00B050"/>
                <w:sz w:val="20"/>
                <w:szCs w:val="20"/>
                <w:highlight w:val="yellow"/>
              </w:rPr>
            </w:pPr>
            <w:r w:rsidRPr="0029444C">
              <w:rPr>
                <w:rFonts w:ascii="Arial" w:hAnsi="Arial" w:cs="Arial"/>
                <w:color w:val="FF0000"/>
                <w:sz w:val="20"/>
                <w:szCs w:val="20"/>
              </w:rPr>
              <w:t>▼</w:t>
            </w:r>
          </w:p>
        </w:tc>
      </w:tr>
      <w:tr w:rsidR="009B683A" w:rsidRPr="00B8351E" w14:paraId="3298CC49" w14:textId="77777777" w:rsidTr="009A3928">
        <w:trPr>
          <w:trHeight w:val="235"/>
        </w:trPr>
        <w:tc>
          <w:tcPr>
            <w:tcW w:w="1649" w:type="pct"/>
            <w:tcBorders>
              <w:top w:val="single" w:sz="4" w:space="0" w:color="auto"/>
              <w:left w:val="single" w:sz="4" w:space="0" w:color="auto"/>
              <w:bottom w:val="single" w:sz="4" w:space="0" w:color="auto"/>
              <w:right w:val="single" w:sz="4" w:space="0" w:color="auto"/>
            </w:tcBorders>
            <w:hideMark/>
          </w:tcPr>
          <w:p w14:paraId="54E1444A" w14:textId="77777777" w:rsidR="009B683A" w:rsidRPr="00940F0D" w:rsidRDefault="009B683A" w:rsidP="009B683A">
            <w:pPr>
              <w:spacing w:line="276" w:lineRule="auto"/>
              <w:jc w:val="center"/>
              <w:rPr>
                <w:rFonts w:ascii="Arial" w:hAnsi="Arial" w:cs="Arial"/>
                <w:sz w:val="20"/>
                <w:szCs w:val="20"/>
              </w:rPr>
            </w:pPr>
            <w:r w:rsidRPr="00940F0D">
              <w:rPr>
                <w:rFonts w:ascii="Arial" w:hAnsi="Arial" w:cs="Arial"/>
                <w:sz w:val="20"/>
                <w:szCs w:val="20"/>
              </w:rPr>
              <w:t>Permitted reserves of crushed rock (tonnes)</w:t>
            </w:r>
          </w:p>
        </w:tc>
        <w:tc>
          <w:tcPr>
            <w:tcW w:w="1164" w:type="pct"/>
            <w:tcBorders>
              <w:top w:val="single" w:sz="4" w:space="0" w:color="auto"/>
              <w:left w:val="single" w:sz="4" w:space="0" w:color="auto"/>
              <w:bottom w:val="single" w:sz="4" w:space="0" w:color="auto"/>
              <w:right w:val="single" w:sz="4" w:space="0" w:color="auto"/>
            </w:tcBorders>
          </w:tcPr>
          <w:p w14:paraId="6105B6DA" w14:textId="2114B866" w:rsidR="009B683A" w:rsidRPr="009B683A" w:rsidRDefault="009B683A" w:rsidP="009B683A">
            <w:pPr>
              <w:spacing w:line="276" w:lineRule="auto"/>
              <w:jc w:val="center"/>
              <w:rPr>
                <w:rFonts w:ascii="Arial" w:hAnsi="Arial" w:cs="Arial"/>
                <w:sz w:val="20"/>
                <w:szCs w:val="20"/>
              </w:rPr>
            </w:pPr>
            <w:r w:rsidRPr="009B683A">
              <w:rPr>
                <w:rFonts w:ascii="Arial" w:hAnsi="Arial" w:cs="Arial"/>
                <w:sz w:val="20"/>
                <w:szCs w:val="20"/>
              </w:rPr>
              <w:t>41Mt</w:t>
            </w:r>
          </w:p>
        </w:tc>
        <w:tc>
          <w:tcPr>
            <w:tcW w:w="1094" w:type="pct"/>
            <w:tcBorders>
              <w:top w:val="single" w:sz="4" w:space="0" w:color="auto"/>
              <w:left w:val="single" w:sz="4" w:space="0" w:color="auto"/>
              <w:bottom w:val="single" w:sz="4" w:space="0" w:color="auto"/>
              <w:right w:val="single" w:sz="4" w:space="0" w:color="auto"/>
            </w:tcBorders>
          </w:tcPr>
          <w:p w14:paraId="3344BF95" w14:textId="373F3B12" w:rsidR="009B683A" w:rsidRPr="00945153" w:rsidRDefault="00C83D44" w:rsidP="009B683A">
            <w:pPr>
              <w:spacing w:after="200" w:line="276" w:lineRule="auto"/>
              <w:jc w:val="center"/>
              <w:rPr>
                <w:rFonts w:ascii="Arial" w:hAnsi="Arial" w:cs="Arial"/>
                <w:sz w:val="20"/>
                <w:szCs w:val="20"/>
              </w:rPr>
            </w:pPr>
            <w:r>
              <w:rPr>
                <w:rFonts w:ascii="Arial" w:hAnsi="Arial" w:cs="Arial"/>
                <w:sz w:val="20"/>
                <w:szCs w:val="20"/>
              </w:rPr>
              <w:t>62</w:t>
            </w:r>
            <w:r w:rsidR="00CC76EE">
              <w:rPr>
                <w:rFonts w:ascii="Arial" w:hAnsi="Arial" w:cs="Arial"/>
                <w:sz w:val="20"/>
                <w:szCs w:val="20"/>
              </w:rPr>
              <w:t>Mt</w:t>
            </w:r>
          </w:p>
        </w:tc>
        <w:tc>
          <w:tcPr>
            <w:tcW w:w="1093" w:type="pct"/>
            <w:tcBorders>
              <w:top w:val="single" w:sz="4" w:space="0" w:color="auto"/>
              <w:left w:val="single" w:sz="4" w:space="0" w:color="auto"/>
              <w:bottom w:val="single" w:sz="4" w:space="0" w:color="auto"/>
              <w:right w:val="single" w:sz="4" w:space="0" w:color="auto"/>
            </w:tcBorders>
          </w:tcPr>
          <w:p w14:paraId="6F7690AA" w14:textId="5B82131C" w:rsidR="009B683A" w:rsidRPr="0080332C" w:rsidRDefault="00E60D8B" w:rsidP="009B683A">
            <w:pPr>
              <w:spacing w:after="200" w:line="276" w:lineRule="auto"/>
              <w:jc w:val="center"/>
              <w:rPr>
                <w:rFonts w:ascii="Arial" w:hAnsi="Arial" w:cs="Arial"/>
                <w:color w:val="FF0000"/>
                <w:sz w:val="28"/>
                <w:szCs w:val="28"/>
              </w:rPr>
            </w:pPr>
            <w:r w:rsidRPr="0080332C">
              <w:rPr>
                <w:rFonts w:ascii="Arial" w:hAnsi="Arial" w:cs="Arial"/>
                <w:color w:val="00B050"/>
                <w:sz w:val="28"/>
                <w:szCs w:val="28"/>
              </w:rPr>
              <w:t>▲</w:t>
            </w:r>
          </w:p>
        </w:tc>
      </w:tr>
      <w:tr w:rsidR="009B683A" w:rsidRPr="00B8351E" w14:paraId="75F75E95" w14:textId="77777777" w:rsidTr="009A3928">
        <w:trPr>
          <w:trHeight w:val="235"/>
        </w:trPr>
        <w:tc>
          <w:tcPr>
            <w:tcW w:w="1649" w:type="pct"/>
            <w:tcBorders>
              <w:top w:val="single" w:sz="4" w:space="0" w:color="auto"/>
              <w:left w:val="single" w:sz="4" w:space="0" w:color="auto"/>
              <w:bottom w:val="single" w:sz="4" w:space="0" w:color="auto"/>
              <w:right w:val="single" w:sz="4" w:space="0" w:color="auto"/>
            </w:tcBorders>
          </w:tcPr>
          <w:p w14:paraId="2AE1D02E" w14:textId="77777777" w:rsidR="009B683A" w:rsidRPr="00940F0D" w:rsidRDefault="009B683A" w:rsidP="009B683A">
            <w:pPr>
              <w:spacing w:line="276" w:lineRule="auto"/>
              <w:jc w:val="center"/>
              <w:rPr>
                <w:rFonts w:ascii="Arial" w:hAnsi="Arial" w:cs="Arial"/>
                <w:sz w:val="20"/>
                <w:szCs w:val="20"/>
              </w:rPr>
            </w:pPr>
            <w:r w:rsidRPr="00940F0D">
              <w:rPr>
                <w:rFonts w:ascii="Arial" w:hAnsi="Arial" w:cs="Arial"/>
                <w:sz w:val="20"/>
                <w:szCs w:val="20"/>
              </w:rPr>
              <w:t>Crushed rock landbank</w:t>
            </w:r>
            <w:r w:rsidRPr="00940F0D">
              <w:rPr>
                <w:rFonts w:ascii="Arial" w:hAnsi="Arial" w:cs="Arial"/>
                <w:sz w:val="20"/>
                <w:szCs w:val="20"/>
                <w:vertAlign w:val="superscript"/>
              </w:rPr>
              <w:t>1</w:t>
            </w:r>
            <w:r w:rsidRPr="00940F0D">
              <w:rPr>
                <w:rFonts w:ascii="Arial" w:hAnsi="Arial" w:cs="Arial"/>
                <w:sz w:val="20"/>
                <w:szCs w:val="20"/>
              </w:rPr>
              <w:t xml:space="preserve"> (years)</w:t>
            </w:r>
            <w:r>
              <w:rPr>
                <w:rFonts w:ascii="Arial" w:hAnsi="Arial" w:cs="Arial"/>
                <w:sz w:val="20"/>
                <w:szCs w:val="20"/>
              </w:rPr>
              <w:t xml:space="preserve"> </w:t>
            </w:r>
            <w:r w:rsidRPr="007D7C64">
              <w:rPr>
                <w:rFonts w:ascii="Arial" w:hAnsi="Arial" w:cs="Arial"/>
                <w:sz w:val="18"/>
                <w:szCs w:val="18"/>
              </w:rPr>
              <w:t xml:space="preserve">(based on </w:t>
            </w:r>
            <w:proofErr w:type="gramStart"/>
            <w:r w:rsidRPr="007D7C64">
              <w:rPr>
                <w:rFonts w:ascii="Arial" w:hAnsi="Arial" w:cs="Arial"/>
                <w:sz w:val="18"/>
                <w:szCs w:val="18"/>
              </w:rPr>
              <w:t>ten year</w:t>
            </w:r>
            <w:proofErr w:type="gramEnd"/>
            <w:r w:rsidRPr="007D7C64">
              <w:rPr>
                <w:rFonts w:ascii="Arial" w:hAnsi="Arial" w:cs="Arial"/>
                <w:sz w:val="18"/>
                <w:szCs w:val="18"/>
              </w:rPr>
              <w:t xml:space="preserve"> average sales)</w:t>
            </w:r>
          </w:p>
        </w:tc>
        <w:tc>
          <w:tcPr>
            <w:tcW w:w="1164" w:type="pct"/>
            <w:tcBorders>
              <w:top w:val="single" w:sz="4" w:space="0" w:color="auto"/>
              <w:left w:val="single" w:sz="4" w:space="0" w:color="auto"/>
              <w:bottom w:val="single" w:sz="4" w:space="0" w:color="auto"/>
              <w:right w:val="single" w:sz="4" w:space="0" w:color="auto"/>
            </w:tcBorders>
          </w:tcPr>
          <w:p w14:paraId="33FC4F60" w14:textId="32F2E757" w:rsidR="009B683A" w:rsidRPr="009B683A" w:rsidRDefault="009B683A" w:rsidP="009B683A">
            <w:pPr>
              <w:spacing w:line="276" w:lineRule="auto"/>
              <w:jc w:val="center"/>
              <w:rPr>
                <w:rFonts w:ascii="Arial" w:hAnsi="Arial" w:cs="Arial"/>
                <w:sz w:val="20"/>
                <w:szCs w:val="20"/>
              </w:rPr>
            </w:pPr>
            <w:r w:rsidRPr="009B683A">
              <w:rPr>
                <w:rFonts w:ascii="Arial" w:hAnsi="Arial" w:cs="Arial"/>
                <w:sz w:val="20"/>
                <w:szCs w:val="20"/>
              </w:rPr>
              <w:t>18.5 years</w:t>
            </w:r>
          </w:p>
        </w:tc>
        <w:tc>
          <w:tcPr>
            <w:tcW w:w="1094" w:type="pct"/>
            <w:tcBorders>
              <w:top w:val="single" w:sz="4" w:space="0" w:color="auto"/>
              <w:left w:val="single" w:sz="4" w:space="0" w:color="auto"/>
              <w:bottom w:val="single" w:sz="4" w:space="0" w:color="auto"/>
              <w:right w:val="single" w:sz="4" w:space="0" w:color="auto"/>
            </w:tcBorders>
          </w:tcPr>
          <w:p w14:paraId="717DE778" w14:textId="019F1ECD" w:rsidR="009B683A" w:rsidRPr="00945153" w:rsidRDefault="0029444C" w:rsidP="009B683A">
            <w:pPr>
              <w:spacing w:line="276" w:lineRule="auto"/>
              <w:jc w:val="center"/>
              <w:rPr>
                <w:rFonts w:ascii="Arial" w:hAnsi="Arial" w:cs="Arial"/>
                <w:sz w:val="20"/>
                <w:szCs w:val="20"/>
              </w:rPr>
            </w:pPr>
            <w:r>
              <w:rPr>
                <w:rFonts w:ascii="Arial" w:hAnsi="Arial" w:cs="Arial"/>
                <w:sz w:val="20"/>
                <w:szCs w:val="20"/>
              </w:rPr>
              <w:t xml:space="preserve">26 </w:t>
            </w:r>
            <w:r w:rsidR="00CC76EE">
              <w:rPr>
                <w:rFonts w:ascii="Arial" w:hAnsi="Arial" w:cs="Arial"/>
                <w:sz w:val="20"/>
                <w:szCs w:val="20"/>
              </w:rPr>
              <w:t>years</w:t>
            </w:r>
          </w:p>
        </w:tc>
        <w:tc>
          <w:tcPr>
            <w:tcW w:w="1093" w:type="pct"/>
            <w:tcBorders>
              <w:top w:val="single" w:sz="4" w:space="0" w:color="auto"/>
              <w:left w:val="single" w:sz="4" w:space="0" w:color="auto"/>
              <w:bottom w:val="single" w:sz="4" w:space="0" w:color="auto"/>
              <w:right w:val="single" w:sz="4" w:space="0" w:color="auto"/>
            </w:tcBorders>
          </w:tcPr>
          <w:p w14:paraId="0625DF62" w14:textId="35D22FD7" w:rsidR="009B683A" w:rsidRPr="0024198A" w:rsidRDefault="0029444C" w:rsidP="009B683A">
            <w:pPr>
              <w:spacing w:line="276" w:lineRule="auto"/>
              <w:jc w:val="center"/>
              <w:rPr>
                <w:rFonts w:ascii="Arial" w:hAnsi="Arial" w:cs="Arial"/>
                <w:color w:val="FF0000"/>
                <w:sz w:val="20"/>
                <w:szCs w:val="20"/>
              </w:rPr>
            </w:pPr>
            <w:r w:rsidRPr="0024198A">
              <w:rPr>
                <w:rFonts w:ascii="Arial" w:hAnsi="Arial" w:cs="Arial"/>
                <w:color w:val="00B050"/>
                <w:sz w:val="24"/>
                <w:szCs w:val="24"/>
              </w:rPr>
              <w:t>▲</w:t>
            </w:r>
          </w:p>
        </w:tc>
      </w:tr>
      <w:tr w:rsidR="009B683A" w:rsidRPr="00B8351E" w14:paraId="769AA347" w14:textId="77777777" w:rsidTr="009A3928">
        <w:trPr>
          <w:trHeight w:val="235"/>
        </w:trPr>
        <w:tc>
          <w:tcPr>
            <w:tcW w:w="1649" w:type="pct"/>
            <w:tcBorders>
              <w:top w:val="single" w:sz="4" w:space="0" w:color="auto"/>
              <w:left w:val="single" w:sz="4" w:space="0" w:color="auto"/>
              <w:bottom w:val="single" w:sz="4" w:space="0" w:color="auto"/>
              <w:right w:val="single" w:sz="4" w:space="0" w:color="auto"/>
            </w:tcBorders>
          </w:tcPr>
          <w:p w14:paraId="2DF46BDF" w14:textId="77777777" w:rsidR="009B683A" w:rsidRPr="00940F0D" w:rsidRDefault="009B683A" w:rsidP="009B683A">
            <w:pPr>
              <w:spacing w:line="276" w:lineRule="auto"/>
              <w:jc w:val="center"/>
              <w:rPr>
                <w:rFonts w:ascii="Arial" w:hAnsi="Arial" w:cs="Arial"/>
                <w:sz w:val="20"/>
                <w:szCs w:val="20"/>
              </w:rPr>
            </w:pPr>
            <w:r w:rsidRPr="00940F0D">
              <w:rPr>
                <w:rFonts w:ascii="Arial" w:hAnsi="Arial" w:cs="Arial"/>
                <w:sz w:val="20"/>
                <w:szCs w:val="20"/>
              </w:rPr>
              <w:t>Crushed rock landbank</w:t>
            </w:r>
            <w:r>
              <w:rPr>
                <w:rFonts w:ascii="Arial" w:hAnsi="Arial" w:cs="Arial"/>
                <w:sz w:val="20"/>
                <w:szCs w:val="20"/>
                <w:vertAlign w:val="superscript"/>
              </w:rPr>
              <w:t xml:space="preserve"> </w:t>
            </w:r>
            <w:r w:rsidRPr="00940F0D">
              <w:rPr>
                <w:rFonts w:ascii="Arial" w:hAnsi="Arial" w:cs="Arial"/>
                <w:sz w:val="20"/>
                <w:szCs w:val="20"/>
              </w:rPr>
              <w:t>(years)</w:t>
            </w:r>
            <w:r>
              <w:rPr>
                <w:rFonts w:ascii="Arial" w:hAnsi="Arial" w:cs="Arial"/>
                <w:sz w:val="20"/>
                <w:szCs w:val="20"/>
              </w:rPr>
              <w:t xml:space="preserve"> </w:t>
            </w:r>
            <w:r>
              <w:rPr>
                <w:rFonts w:ascii="Arial" w:hAnsi="Arial" w:cs="Arial"/>
                <w:sz w:val="18"/>
                <w:szCs w:val="18"/>
              </w:rPr>
              <w:t xml:space="preserve">(based on </w:t>
            </w:r>
            <w:proofErr w:type="gramStart"/>
            <w:r>
              <w:rPr>
                <w:rFonts w:ascii="Arial" w:hAnsi="Arial" w:cs="Arial"/>
                <w:sz w:val="18"/>
                <w:szCs w:val="18"/>
              </w:rPr>
              <w:t>3</w:t>
            </w:r>
            <w:r w:rsidRPr="007D7C64">
              <w:rPr>
                <w:rFonts w:ascii="Arial" w:hAnsi="Arial" w:cs="Arial"/>
                <w:sz w:val="18"/>
                <w:szCs w:val="18"/>
              </w:rPr>
              <w:t xml:space="preserve"> year</w:t>
            </w:r>
            <w:proofErr w:type="gramEnd"/>
            <w:r w:rsidRPr="007D7C64">
              <w:rPr>
                <w:rFonts w:ascii="Arial" w:hAnsi="Arial" w:cs="Arial"/>
                <w:sz w:val="18"/>
                <w:szCs w:val="18"/>
              </w:rPr>
              <w:t xml:space="preserve"> average sales)</w:t>
            </w:r>
          </w:p>
        </w:tc>
        <w:tc>
          <w:tcPr>
            <w:tcW w:w="1164" w:type="pct"/>
            <w:tcBorders>
              <w:top w:val="single" w:sz="4" w:space="0" w:color="auto"/>
              <w:left w:val="single" w:sz="4" w:space="0" w:color="auto"/>
              <w:bottom w:val="single" w:sz="4" w:space="0" w:color="auto"/>
              <w:right w:val="single" w:sz="4" w:space="0" w:color="auto"/>
            </w:tcBorders>
          </w:tcPr>
          <w:p w14:paraId="14DB19AA" w14:textId="2BA1B69E" w:rsidR="009B683A" w:rsidRPr="009B683A" w:rsidRDefault="009B683A" w:rsidP="009B683A">
            <w:pPr>
              <w:spacing w:line="276" w:lineRule="auto"/>
              <w:jc w:val="center"/>
              <w:rPr>
                <w:rFonts w:ascii="Arial" w:hAnsi="Arial" w:cs="Arial"/>
                <w:sz w:val="20"/>
                <w:szCs w:val="20"/>
              </w:rPr>
            </w:pPr>
            <w:r w:rsidRPr="009B683A">
              <w:rPr>
                <w:rFonts w:ascii="Arial" w:hAnsi="Arial" w:cs="Arial"/>
                <w:sz w:val="20"/>
                <w:szCs w:val="20"/>
              </w:rPr>
              <w:t>15.4 years</w:t>
            </w:r>
          </w:p>
        </w:tc>
        <w:tc>
          <w:tcPr>
            <w:tcW w:w="1094" w:type="pct"/>
            <w:tcBorders>
              <w:top w:val="single" w:sz="4" w:space="0" w:color="auto"/>
              <w:left w:val="single" w:sz="4" w:space="0" w:color="auto"/>
              <w:bottom w:val="single" w:sz="4" w:space="0" w:color="auto"/>
              <w:right w:val="single" w:sz="4" w:space="0" w:color="auto"/>
            </w:tcBorders>
          </w:tcPr>
          <w:p w14:paraId="34744575" w14:textId="1E763FE1" w:rsidR="009B683A" w:rsidRPr="00945153" w:rsidRDefault="0029444C" w:rsidP="009B683A">
            <w:pPr>
              <w:spacing w:line="276" w:lineRule="auto"/>
              <w:jc w:val="center"/>
              <w:rPr>
                <w:rFonts w:ascii="Arial" w:hAnsi="Arial" w:cs="Arial"/>
                <w:sz w:val="20"/>
                <w:szCs w:val="20"/>
              </w:rPr>
            </w:pPr>
            <w:r>
              <w:rPr>
                <w:rFonts w:ascii="Arial" w:hAnsi="Arial" w:cs="Arial"/>
                <w:sz w:val="20"/>
                <w:szCs w:val="20"/>
              </w:rPr>
              <w:t xml:space="preserve">23 </w:t>
            </w:r>
            <w:r w:rsidR="00CC76EE">
              <w:rPr>
                <w:rFonts w:ascii="Arial" w:hAnsi="Arial" w:cs="Arial"/>
                <w:sz w:val="20"/>
                <w:szCs w:val="20"/>
              </w:rPr>
              <w:t>years</w:t>
            </w:r>
          </w:p>
        </w:tc>
        <w:tc>
          <w:tcPr>
            <w:tcW w:w="1093" w:type="pct"/>
            <w:tcBorders>
              <w:top w:val="single" w:sz="4" w:space="0" w:color="auto"/>
              <w:left w:val="single" w:sz="4" w:space="0" w:color="auto"/>
              <w:bottom w:val="single" w:sz="4" w:space="0" w:color="auto"/>
              <w:right w:val="single" w:sz="4" w:space="0" w:color="auto"/>
            </w:tcBorders>
          </w:tcPr>
          <w:p w14:paraId="6B9963E8" w14:textId="57F6E593" w:rsidR="009B683A" w:rsidRPr="0024198A" w:rsidRDefault="0029444C" w:rsidP="009B683A">
            <w:pPr>
              <w:spacing w:line="276" w:lineRule="auto"/>
              <w:jc w:val="center"/>
              <w:rPr>
                <w:rFonts w:ascii="Arial" w:hAnsi="Arial" w:cs="Arial"/>
                <w:color w:val="00B050"/>
                <w:sz w:val="24"/>
                <w:szCs w:val="24"/>
              </w:rPr>
            </w:pPr>
            <w:r w:rsidRPr="0024198A">
              <w:rPr>
                <w:rFonts w:ascii="Arial" w:hAnsi="Arial" w:cs="Arial"/>
                <w:color w:val="00B050"/>
                <w:sz w:val="24"/>
                <w:szCs w:val="24"/>
              </w:rPr>
              <w:t>▲</w:t>
            </w:r>
          </w:p>
        </w:tc>
      </w:tr>
      <w:tr w:rsidR="009B683A" w:rsidRPr="00B8351E" w14:paraId="60D87C39" w14:textId="77777777" w:rsidTr="009A3928">
        <w:trPr>
          <w:trHeight w:val="235"/>
        </w:trPr>
        <w:tc>
          <w:tcPr>
            <w:tcW w:w="1649" w:type="pct"/>
            <w:tcBorders>
              <w:top w:val="single" w:sz="4" w:space="0" w:color="auto"/>
              <w:left w:val="single" w:sz="4" w:space="0" w:color="auto"/>
              <w:bottom w:val="single" w:sz="4" w:space="0" w:color="auto"/>
              <w:right w:val="single" w:sz="4" w:space="0" w:color="auto"/>
            </w:tcBorders>
          </w:tcPr>
          <w:p w14:paraId="2576DF7E" w14:textId="180AD5D5" w:rsidR="009B683A" w:rsidRPr="00F504EB" w:rsidRDefault="009B683A" w:rsidP="009B683A">
            <w:pPr>
              <w:spacing w:line="276" w:lineRule="auto"/>
              <w:jc w:val="center"/>
              <w:rPr>
                <w:rFonts w:ascii="Arial" w:hAnsi="Arial" w:cs="Arial"/>
                <w:b/>
                <w:sz w:val="20"/>
                <w:szCs w:val="20"/>
              </w:rPr>
            </w:pPr>
            <w:r w:rsidRPr="00F504EB">
              <w:rPr>
                <w:rFonts w:ascii="Arial" w:hAnsi="Arial" w:cs="Arial"/>
                <w:b/>
                <w:sz w:val="20"/>
                <w:szCs w:val="20"/>
              </w:rPr>
              <w:lastRenderedPageBreak/>
              <w:t>Crushed rock landbank</w:t>
            </w:r>
            <w:r w:rsidRPr="00F504EB">
              <w:rPr>
                <w:rFonts w:ascii="Arial" w:hAnsi="Arial" w:cs="Arial"/>
                <w:b/>
                <w:sz w:val="20"/>
                <w:szCs w:val="20"/>
                <w:vertAlign w:val="superscript"/>
              </w:rPr>
              <w:t xml:space="preserve"> </w:t>
            </w:r>
            <w:r w:rsidRPr="00F504EB">
              <w:rPr>
                <w:rFonts w:ascii="Arial" w:hAnsi="Arial" w:cs="Arial"/>
                <w:b/>
                <w:sz w:val="20"/>
                <w:szCs w:val="20"/>
              </w:rPr>
              <w:t xml:space="preserve">(years) </w:t>
            </w:r>
            <w:r w:rsidRPr="00F504EB">
              <w:rPr>
                <w:rFonts w:ascii="Arial" w:hAnsi="Arial" w:cs="Arial"/>
                <w:b/>
                <w:sz w:val="18"/>
                <w:szCs w:val="18"/>
              </w:rPr>
              <w:t>(</w:t>
            </w:r>
            <w:r>
              <w:rPr>
                <w:rFonts w:ascii="Arial" w:hAnsi="Arial" w:cs="Arial"/>
                <w:b/>
                <w:sz w:val="18"/>
                <w:szCs w:val="18"/>
              </w:rPr>
              <w:t>using fixed rate of 2Mt</w:t>
            </w:r>
            <w:r w:rsidRPr="00F504EB">
              <w:rPr>
                <w:rFonts w:ascii="Arial" w:hAnsi="Arial" w:cs="Arial"/>
                <w:b/>
                <w:sz w:val="18"/>
                <w:szCs w:val="18"/>
              </w:rPr>
              <w:t>)</w:t>
            </w:r>
          </w:p>
        </w:tc>
        <w:tc>
          <w:tcPr>
            <w:tcW w:w="1164" w:type="pct"/>
            <w:tcBorders>
              <w:top w:val="single" w:sz="4" w:space="0" w:color="auto"/>
              <w:left w:val="single" w:sz="4" w:space="0" w:color="auto"/>
              <w:bottom w:val="single" w:sz="4" w:space="0" w:color="auto"/>
              <w:right w:val="single" w:sz="4" w:space="0" w:color="auto"/>
            </w:tcBorders>
          </w:tcPr>
          <w:p w14:paraId="5C68B29F" w14:textId="75E7A635" w:rsidR="009B683A" w:rsidRPr="009B683A" w:rsidRDefault="009B683A" w:rsidP="009B683A">
            <w:pPr>
              <w:spacing w:line="276" w:lineRule="auto"/>
              <w:jc w:val="center"/>
              <w:rPr>
                <w:rFonts w:ascii="Arial" w:hAnsi="Arial" w:cs="Arial"/>
                <w:b/>
                <w:sz w:val="20"/>
                <w:szCs w:val="20"/>
              </w:rPr>
            </w:pPr>
            <w:r w:rsidRPr="009B683A">
              <w:rPr>
                <w:rFonts w:ascii="Arial" w:hAnsi="Arial" w:cs="Arial"/>
                <w:b/>
                <w:sz w:val="20"/>
                <w:szCs w:val="20"/>
              </w:rPr>
              <w:t>20.5 years</w:t>
            </w:r>
          </w:p>
        </w:tc>
        <w:tc>
          <w:tcPr>
            <w:tcW w:w="1094" w:type="pct"/>
            <w:tcBorders>
              <w:top w:val="single" w:sz="4" w:space="0" w:color="auto"/>
              <w:left w:val="single" w:sz="4" w:space="0" w:color="auto"/>
              <w:bottom w:val="single" w:sz="4" w:space="0" w:color="auto"/>
              <w:right w:val="single" w:sz="4" w:space="0" w:color="auto"/>
            </w:tcBorders>
          </w:tcPr>
          <w:p w14:paraId="37997366" w14:textId="59904D7A" w:rsidR="009B683A" w:rsidRPr="001841D4" w:rsidRDefault="0029444C" w:rsidP="009B683A">
            <w:pPr>
              <w:spacing w:line="276" w:lineRule="auto"/>
              <w:jc w:val="center"/>
              <w:rPr>
                <w:rFonts w:ascii="Arial" w:hAnsi="Arial" w:cs="Arial"/>
                <w:b/>
                <w:strike/>
                <w:sz w:val="20"/>
                <w:szCs w:val="20"/>
              </w:rPr>
            </w:pPr>
            <w:r>
              <w:rPr>
                <w:rFonts w:ascii="Arial" w:hAnsi="Arial" w:cs="Arial"/>
                <w:sz w:val="20"/>
                <w:szCs w:val="20"/>
              </w:rPr>
              <w:t xml:space="preserve">31 </w:t>
            </w:r>
            <w:r w:rsidR="00CC76EE">
              <w:rPr>
                <w:rFonts w:ascii="Arial" w:hAnsi="Arial" w:cs="Arial"/>
                <w:sz w:val="20"/>
                <w:szCs w:val="20"/>
              </w:rPr>
              <w:t>years</w:t>
            </w:r>
          </w:p>
        </w:tc>
        <w:tc>
          <w:tcPr>
            <w:tcW w:w="1093" w:type="pct"/>
            <w:tcBorders>
              <w:top w:val="single" w:sz="4" w:space="0" w:color="auto"/>
              <w:left w:val="single" w:sz="4" w:space="0" w:color="auto"/>
              <w:bottom w:val="single" w:sz="4" w:space="0" w:color="auto"/>
              <w:right w:val="single" w:sz="4" w:space="0" w:color="auto"/>
            </w:tcBorders>
          </w:tcPr>
          <w:p w14:paraId="14ECF0A4" w14:textId="52AB466B" w:rsidR="009B683A" w:rsidRPr="0024198A" w:rsidRDefault="0024198A" w:rsidP="009B683A">
            <w:pPr>
              <w:spacing w:line="276" w:lineRule="auto"/>
              <w:jc w:val="center"/>
              <w:rPr>
                <w:rFonts w:ascii="Arial" w:hAnsi="Arial" w:cs="Arial"/>
                <w:b/>
                <w:color w:val="00B050"/>
                <w:sz w:val="20"/>
                <w:szCs w:val="20"/>
              </w:rPr>
            </w:pPr>
            <w:r w:rsidRPr="0024198A">
              <w:rPr>
                <w:rFonts w:ascii="Arial" w:hAnsi="Arial" w:cs="Arial"/>
                <w:color w:val="00B050"/>
                <w:sz w:val="24"/>
                <w:szCs w:val="24"/>
              </w:rPr>
              <w:t>▲</w:t>
            </w:r>
          </w:p>
        </w:tc>
      </w:tr>
    </w:tbl>
    <w:p w14:paraId="021BE753" w14:textId="7137AB42" w:rsidR="00B8351E" w:rsidRPr="00ED5EDB" w:rsidRDefault="00A65612" w:rsidP="00D73374">
      <w:pPr>
        <w:spacing w:before="240" w:line="276" w:lineRule="auto"/>
        <w:rPr>
          <w:rFonts w:ascii="Arial" w:hAnsi="Arial" w:cs="Arial"/>
          <w:b/>
        </w:rPr>
      </w:pPr>
      <w:r w:rsidRPr="00ED5EDB">
        <w:rPr>
          <w:rFonts w:ascii="Arial" w:hAnsi="Arial" w:cs="Arial"/>
          <w:b/>
        </w:rPr>
        <w:t>202</w:t>
      </w:r>
      <w:r w:rsidR="00F574A7" w:rsidRPr="00ED5EDB">
        <w:rPr>
          <w:rFonts w:ascii="Arial" w:hAnsi="Arial" w:cs="Arial"/>
          <w:b/>
        </w:rPr>
        <w:t>3</w:t>
      </w:r>
      <w:r w:rsidR="00BF3BED" w:rsidRPr="00ED5EDB">
        <w:rPr>
          <w:rFonts w:ascii="Arial" w:hAnsi="Arial" w:cs="Arial"/>
          <w:b/>
        </w:rPr>
        <w:t xml:space="preserve"> Planning Application Summary and Status.</w:t>
      </w:r>
    </w:p>
    <w:p w14:paraId="5068215D" w14:textId="7F89656B" w:rsidR="0064062F" w:rsidRDefault="00A3314B" w:rsidP="00D73374">
      <w:pPr>
        <w:spacing w:line="276" w:lineRule="auto"/>
        <w:rPr>
          <w:rFonts w:ascii="Arial" w:hAnsi="Arial" w:cs="Arial"/>
        </w:rPr>
      </w:pPr>
      <w:r w:rsidRPr="00ED5EDB">
        <w:rPr>
          <w:rFonts w:ascii="Arial" w:hAnsi="Arial" w:cs="Arial"/>
        </w:rPr>
        <w:t xml:space="preserve">A summary </w:t>
      </w:r>
      <w:r w:rsidR="00D1292D" w:rsidRPr="00ED5EDB">
        <w:rPr>
          <w:rFonts w:ascii="Arial" w:hAnsi="Arial" w:cs="Arial"/>
        </w:rPr>
        <w:t xml:space="preserve">table </w:t>
      </w:r>
      <w:r w:rsidRPr="00ED5EDB">
        <w:rPr>
          <w:rFonts w:ascii="Arial" w:hAnsi="Arial" w:cs="Arial"/>
        </w:rPr>
        <w:t>of mineral planning applications for 202</w:t>
      </w:r>
      <w:r w:rsidR="00F574A7" w:rsidRPr="00ED5EDB">
        <w:rPr>
          <w:rFonts w:ascii="Arial" w:hAnsi="Arial" w:cs="Arial"/>
        </w:rPr>
        <w:t>3</w:t>
      </w:r>
      <w:r w:rsidRPr="00ED5EDB">
        <w:rPr>
          <w:rFonts w:ascii="Arial" w:hAnsi="Arial" w:cs="Arial"/>
        </w:rPr>
        <w:t xml:space="preserve"> can be found in </w:t>
      </w:r>
      <w:r w:rsidR="007A1748">
        <w:rPr>
          <w:rFonts w:ascii="Arial" w:hAnsi="Arial" w:cs="Arial"/>
        </w:rPr>
        <w:t>A</w:t>
      </w:r>
      <w:r w:rsidRPr="00ED5EDB">
        <w:rPr>
          <w:rFonts w:ascii="Arial" w:hAnsi="Arial" w:cs="Arial"/>
        </w:rPr>
        <w:t xml:space="preserve">ppendix </w:t>
      </w:r>
      <w:r w:rsidR="007A1748">
        <w:rPr>
          <w:rFonts w:ascii="Arial" w:hAnsi="Arial" w:cs="Arial"/>
        </w:rPr>
        <w:t>O</w:t>
      </w:r>
      <w:r w:rsidRPr="00ED5EDB">
        <w:rPr>
          <w:rFonts w:ascii="Arial" w:hAnsi="Arial" w:cs="Arial"/>
        </w:rPr>
        <w:t>ne.</w:t>
      </w:r>
      <w:r w:rsidR="006E3F42" w:rsidRPr="00ED5EDB">
        <w:rPr>
          <w:rFonts w:ascii="Arial" w:hAnsi="Arial" w:cs="Arial"/>
        </w:rPr>
        <w:t xml:space="preserve"> </w:t>
      </w:r>
    </w:p>
    <w:p w14:paraId="2BCCEC91" w14:textId="77777777" w:rsidR="0064062F" w:rsidRDefault="0064062F" w:rsidP="00D73374">
      <w:pPr>
        <w:spacing w:line="276" w:lineRule="auto"/>
        <w:rPr>
          <w:rFonts w:ascii="Arial" w:hAnsi="Arial" w:cs="Arial"/>
        </w:rPr>
      </w:pPr>
    </w:p>
    <w:p w14:paraId="245216B7" w14:textId="2339DDF3" w:rsidR="0064062F" w:rsidRPr="0064062F" w:rsidRDefault="0064062F" w:rsidP="00D73374">
      <w:pPr>
        <w:spacing w:line="276" w:lineRule="auto"/>
        <w:rPr>
          <w:rFonts w:ascii="Arial" w:hAnsi="Arial" w:cs="Arial"/>
          <w:u w:val="single"/>
        </w:rPr>
      </w:pPr>
      <w:r w:rsidRPr="0064062F">
        <w:rPr>
          <w:rFonts w:ascii="Arial" w:hAnsi="Arial" w:cs="Arial"/>
          <w:u w:val="single"/>
        </w:rPr>
        <w:t>Doncaster</w:t>
      </w:r>
    </w:p>
    <w:p w14:paraId="0130A813" w14:textId="60ED6A40" w:rsidR="00A3314B" w:rsidRDefault="00322EF3" w:rsidP="00D73374">
      <w:pPr>
        <w:spacing w:line="276" w:lineRule="auto"/>
        <w:rPr>
          <w:rFonts w:ascii="Arial" w:hAnsi="Arial" w:cs="Arial"/>
        </w:rPr>
      </w:pPr>
      <w:r w:rsidRPr="00ED5EDB">
        <w:rPr>
          <w:rFonts w:ascii="Arial" w:hAnsi="Arial" w:cs="Arial"/>
        </w:rPr>
        <w:t>A new consent at Bawtry Road added 400</w:t>
      </w:r>
      <w:r w:rsidR="00D36C91" w:rsidRPr="00ED5EDB">
        <w:rPr>
          <w:rFonts w:ascii="Arial" w:hAnsi="Arial" w:cs="Arial"/>
        </w:rPr>
        <w:t>,000 ton</w:t>
      </w:r>
      <w:r w:rsidR="0076327C">
        <w:rPr>
          <w:rFonts w:ascii="Arial" w:hAnsi="Arial" w:cs="Arial"/>
        </w:rPr>
        <w:t>n</w:t>
      </w:r>
      <w:r w:rsidR="00D36C91" w:rsidRPr="00ED5EDB">
        <w:rPr>
          <w:rFonts w:ascii="Arial" w:hAnsi="Arial" w:cs="Arial"/>
        </w:rPr>
        <w:t>es o</w:t>
      </w:r>
      <w:r w:rsidR="00EE15CD" w:rsidRPr="00ED5EDB">
        <w:rPr>
          <w:rFonts w:ascii="Arial" w:hAnsi="Arial" w:cs="Arial"/>
        </w:rPr>
        <w:t>f</w:t>
      </w:r>
      <w:r w:rsidR="00D36C91" w:rsidRPr="00ED5EDB">
        <w:rPr>
          <w:rFonts w:ascii="Arial" w:hAnsi="Arial" w:cs="Arial"/>
        </w:rPr>
        <w:t xml:space="preserve"> sand to the landbank (60% of which is sharp sand). </w:t>
      </w:r>
      <w:r w:rsidR="00F574A7" w:rsidRPr="00ED5EDB">
        <w:rPr>
          <w:rFonts w:ascii="Arial" w:hAnsi="Arial" w:cs="Arial"/>
        </w:rPr>
        <w:t xml:space="preserve">See </w:t>
      </w:r>
      <w:r w:rsidR="007A1748">
        <w:rPr>
          <w:rFonts w:ascii="Arial" w:hAnsi="Arial" w:cs="Arial"/>
        </w:rPr>
        <w:t>T</w:t>
      </w:r>
      <w:r w:rsidR="00F574A7" w:rsidRPr="00ED5EDB">
        <w:rPr>
          <w:rFonts w:ascii="Arial" w:hAnsi="Arial" w:cs="Arial"/>
        </w:rPr>
        <w:t xml:space="preserve">able 5. </w:t>
      </w:r>
      <w:r w:rsidR="00316DD0" w:rsidRPr="00ED5EDB">
        <w:rPr>
          <w:rFonts w:ascii="Arial" w:hAnsi="Arial" w:cs="Arial"/>
        </w:rPr>
        <w:t>The Holme Hall quarry permission added 19Mt of crushed rock to the landbank</w:t>
      </w:r>
      <w:r w:rsidR="00ED5EDB" w:rsidRPr="00ED5EDB">
        <w:rPr>
          <w:rFonts w:ascii="Arial" w:hAnsi="Arial" w:cs="Arial"/>
        </w:rPr>
        <w:t xml:space="preserve">. See </w:t>
      </w:r>
      <w:r w:rsidR="007A1748">
        <w:rPr>
          <w:rFonts w:ascii="Arial" w:hAnsi="Arial" w:cs="Arial"/>
        </w:rPr>
        <w:t>T</w:t>
      </w:r>
      <w:r w:rsidR="00ED5EDB" w:rsidRPr="00ED5EDB">
        <w:rPr>
          <w:rFonts w:ascii="Arial" w:hAnsi="Arial" w:cs="Arial"/>
        </w:rPr>
        <w:t>able 7.</w:t>
      </w:r>
    </w:p>
    <w:p w14:paraId="69DC5678" w14:textId="77777777" w:rsidR="003A689F" w:rsidRDefault="003A689F" w:rsidP="00D73374">
      <w:pPr>
        <w:spacing w:line="276" w:lineRule="auto"/>
        <w:rPr>
          <w:rFonts w:ascii="Arial" w:hAnsi="Arial" w:cs="Arial"/>
        </w:rPr>
      </w:pPr>
    </w:p>
    <w:p w14:paraId="48D3882E" w14:textId="548814FD" w:rsidR="0064062F" w:rsidRPr="0064062F" w:rsidRDefault="0064062F" w:rsidP="00D73374">
      <w:pPr>
        <w:spacing w:line="276" w:lineRule="auto"/>
        <w:rPr>
          <w:rFonts w:ascii="Arial" w:hAnsi="Arial" w:cs="Arial"/>
          <w:u w:val="single"/>
        </w:rPr>
      </w:pPr>
      <w:r>
        <w:rPr>
          <w:rFonts w:ascii="Arial" w:hAnsi="Arial" w:cs="Arial"/>
          <w:u w:val="single"/>
        </w:rPr>
        <w:t>Rotherham</w:t>
      </w:r>
    </w:p>
    <w:p w14:paraId="28EDDA8A" w14:textId="77777777" w:rsidR="007A1748" w:rsidRDefault="0064062F" w:rsidP="00D73374">
      <w:pPr>
        <w:spacing w:line="276" w:lineRule="auto"/>
        <w:rPr>
          <w:rFonts w:ascii="Arial" w:hAnsi="Arial" w:cs="Arial"/>
        </w:rPr>
      </w:pPr>
      <w:r>
        <w:rPr>
          <w:rFonts w:ascii="Arial" w:hAnsi="Arial" w:cs="Arial"/>
        </w:rPr>
        <w:t>No</w:t>
      </w:r>
      <w:r w:rsidR="003A689F" w:rsidRPr="003A689F">
        <w:rPr>
          <w:rFonts w:ascii="Arial" w:hAnsi="Arial" w:cs="Arial"/>
        </w:rPr>
        <w:t xml:space="preserve"> determined applications for minerals extractions in 2023/24</w:t>
      </w:r>
      <w:r w:rsidR="003A689F">
        <w:rPr>
          <w:rFonts w:ascii="Arial" w:hAnsi="Arial" w:cs="Arial"/>
        </w:rPr>
        <w:t>.</w:t>
      </w:r>
      <w:r>
        <w:rPr>
          <w:rFonts w:ascii="Arial" w:hAnsi="Arial" w:cs="Arial"/>
        </w:rPr>
        <w:t xml:space="preserve"> </w:t>
      </w:r>
    </w:p>
    <w:p w14:paraId="39569E2B" w14:textId="078980C0" w:rsidR="007A1748" w:rsidRPr="003A689F" w:rsidRDefault="0064062F" w:rsidP="00D73374">
      <w:pPr>
        <w:spacing w:line="276" w:lineRule="auto"/>
        <w:rPr>
          <w:rFonts w:ascii="Arial" w:hAnsi="Arial" w:cs="Arial"/>
        </w:rPr>
      </w:pPr>
      <w:r>
        <w:rPr>
          <w:rFonts w:ascii="Arial" w:hAnsi="Arial" w:cs="Arial"/>
        </w:rPr>
        <w:t xml:space="preserve">An application at Maltby colliery is under consideration </w:t>
      </w:r>
      <w:r w:rsidR="007A1748">
        <w:rPr>
          <w:rFonts w:ascii="Arial" w:hAnsi="Arial" w:cs="Arial"/>
        </w:rPr>
        <w:t>which includes an element of extraction of limestone magnesium (See Appendix One).</w:t>
      </w:r>
    </w:p>
    <w:p w14:paraId="7A7D26AA" w14:textId="77777777" w:rsidR="00B8351E" w:rsidRPr="00B8351E" w:rsidRDefault="00000000" w:rsidP="00D73374">
      <w:pPr>
        <w:spacing w:before="240" w:line="276" w:lineRule="auto"/>
        <w:rPr>
          <w:rFonts w:ascii="Arial" w:hAnsi="Arial" w:cs="Arial"/>
          <w:b/>
        </w:rPr>
      </w:pPr>
      <w:hyperlink r:id="rId15" w:history="1">
        <w:r w:rsidR="00B8351E" w:rsidRPr="001814A9">
          <w:rPr>
            <w:rStyle w:val="Hyperlink"/>
            <w:rFonts w:ascii="Arial" w:hAnsi="Arial" w:cs="Arial"/>
            <w:b/>
          </w:rPr>
          <w:t>Doncaste</w:t>
        </w:r>
        <w:r w:rsidR="00E1644D" w:rsidRPr="001814A9">
          <w:rPr>
            <w:rStyle w:val="Hyperlink"/>
            <w:rFonts w:ascii="Arial" w:hAnsi="Arial" w:cs="Arial"/>
            <w:b/>
          </w:rPr>
          <w:t>r Local Plan</w:t>
        </w:r>
      </w:hyperlink>
      <w:r w:rsidR="00E1644D">
        <w:rPr>
          <w:rFonts w:ascii="Arial" w:hAnsi="Arial" w:cs="Arial"/>
          <w:b/>
        </w:rPr>
        <w:t xml:space="preserve"> and Rotherham Core Strategy</w:t>
      </w:r>
    </w:p>
    <w:p w14:paraId="7FA66F9B" w14:textId="692A60F9" w:rsidR="00542DB1" w:rsidRDefault="001814A9" w:rsidP="00D73374">
      <w:pPr>
        <w:spacing w:line="276" w:lineRule="auto"/>
        <w:rPr>
          <w:rFonts w:ascii="Arial" w:hAnsi="Arial" w:cs="Arial"/>
        </w:rPr>
      </w:pPr>
      <w:r w:rsidRPr="0033211D">
        <w:rPr>
          <w:rFonts w:ascii="Arial" w:hAnsi="Arial" w:cs="Arial"/>
        </w:rPr>
        <w:t xml:space="preserve">Doncaster Council adopted the Local Plan </w:t>
      </w:r>
      <w:r w:rsidR="00BA27CD">
        <w:rPr>
          <w:rFonts w:ascii="Arial" w:hAnsi="Arial" w:cs="Arial"/>
        </w:rPr>
        <w:t>i</w:t>
      </w:r>
      <w:r w:rsidRPr="0033211D">
        <w:rPr>
          <w:rFonts w:ascii="Arial" w:hAnsi="Arial" w:cs="Arial"/>
        </w:rPr>
        <w:t xml:space="preserve">n </w:t>
      </w:r>
      <w:r w:rsidR="0033211D" w:rsidRPr="0033211D">
        <w:rPr>
          <w:rFonts w:ascii="Arial" w:hAnsi="Arial" w:cs="Arial"/>
        </w:rPr>
        <w:t>September 2021</w:t>
      </w:r>
      <w:r w:rsidR="005F7678">
        <w:rPr>
          <w:rFonts w:ascii="Arial" w:hAnsi="Arial" w:cs="Arial"/>
        </w:rPr>
        <w:t>.</w:t>
      </w:r>
      <w:r w:rsidR="0033211D" w:rsidRPr="0033211D">
        <w:rPr>
          <w:rFonts w:ascii="Arial" w:hAnsi="Arial" w:cs="Arial"/>
        </w:rPr>
        <w:t xml:space="preserve"> </w:t>
      </w:r>
      <w:r w:rsidR="0033211D" w:rsidRPr="00B8351E">
        <w:rPr>
          <w:rFonts w:ascii="Arial" w:hAnsi="Arial" w:cs="Arial"/>
        </w:rPr>
        <w:t>Doncast</w:t>
      </w:r>
      <w:r w:rsidR="00CC5787">
        <w:rPr>
          <w:rFonts w:ascii="Arial" w:hAnsi="Arial" w:cs="Arial"/>
        </w:rPr>
        <w:t>er provides for</w:t>
      </w:r>
      <w:r w:rsidR="0033211D" w:rsidRPr="00B8351E">
        <w:rPr>
          <w:rFonts w:ascii="Arial" w:hAnsi="Arial" w:cs="Arial"/>
        </w:rPr>
        <w:t xml:space="preserve"> the crushed rock, sand and gravel minerals in the South Yorkshire sub-region</w:t>
      </w:r>
      <w:r w:rsidR="00CC5787">
        <w:rPr>
          <w:rFonts w:ascii="Arial" w:hAnsi="Arial" w:cs="Arial"/>
        </w:rPr>
        <w:t xml:space="preserve"> and Rotherham has one crushed rock site with extant permission, bu</w:t>
      </w:r>
      <w:r w:rsidR="00506DC3">
        <w:rPr>
          <w:rFonts w:ascii="Arial" w:hAnsi="Arial" w:cs="Arial"/>
        </w:rPr>
        <w:t>t this site is currently inactive</w:t>
      </w:r>
      <w:r w:rsidR="0033211D" w:rsidRPr="00B8351E">
        <w:rPr>
          <w:rFonts w:ascii="Arial" w:hAnsi="Arial" w:cs="Arial"/>
        </w:rPr>
        <w:t>. Development proposals</w:t>
      </w:r>
      <w:r w:rsidR="0033211D">
        <w:rPr>
          <w:rFonts w:ascii="Arial" w:hAnsi="Arial" w:cs="Arial"/>
        </w:rPr>
        <w:t xml:space="preserve"> in Doncaster including the allocation of two sites and three ‘areas of search’</w:t>
      </w:r>
      <w:r w:rsidR="0033211D" w:rsidRPr="00B8351E">
        <w:rPr>
          <w:rFonts w:ascii="Arial" w:hAnsi="Arial" w:cs="Arial"/>
        </w:rPr>
        <w:t xml:space="preserve"> can be found in</w:t>
      </w:r>
      <w:r w:rsidR="0033211D">
        <w:rPr>
          <w:rFonts w:ascii="Arial" w:hAnsi="Arial" w:cs="Arial"/>
        </w:rPr>
        <w:t xml:space="preserve"> the Doncaster Local Plan. </w:t>
      </w:r>
      <w:r w:rsidR="00023091">
        <w:rPr>
          <w:rFonts w:ascii="Arial" w:hAnsi="Arial" w:cs="Arial"/>
        </w:rPr>
        <w:t>The Doncaster Local Plan allocated</w:t>
      </w:r>
      <w:r w:rsidR="00023091" w:rsidRPr="00B8351E">
        <w:rPr>
          <w:rFonts w:ascii="Arial" w:hAnsi="Arial" w:cs="Arial"/>
        </w:rPr>
        <w:t xml:space="preserve"> two sand and gravel sites, provid</w:t>
      </w:r>
      <w:r w:rsidR="00023091">
        <w:rPr>
          <w:rFonts w:ascii="Arial" w:hAnsi="Arial" w:cs="Arial"/>
        </w:rPr>
        <w:t>ing</w:t>
      </w:r>
      <w:r w:rsidR="00023091" w:rsidRPr="00B8351E">
        <w:rPr>
          <w:rFonts w:ascii="Arial" w:hAnsi="Arial" w:cs="Arial"/>
        </w:rPr>
        <w:t xml:space="preserve"> 1.9Mt</w:t>
      </w:r>
      <w:r w:rsidR="00023091" w:rsidRPr="00B8351E">
        <w:rPr>
          <w:rFonts w:ascii="Arial" w:hAnsi="Arial" w:cs="Arial"/>
          <w:vertAlign w:val="superscript"/>
        </w:rPr>
        <w:footnoteReference w:id="3"/>
      </w:r>
      <w:r w:rsidR="00023091" w:rsidRPr="00B8351E">
        <w:rPr>
          <w:rFonts w:ascii="Arial" w:hAnsi="Arial" w:cs="Arial"/>
        </w:rPr>
        <w:t xml:space="preserve"> of sand and gravel. </w:t>
      </w:r>
      <w:r w:rsidR="0033211D">
        <w:rPr>
          <w:rFonts w:ascii="Arial" w:hAnsi="Arial" w:cs="Arial"/>
        </w:rPr>
        <w:t xml:space="preserve">One of the allocated Local Plan mineral sites was granted </w:t>
      </w:r>
      <w:r w:rsidR="00A65612">
        <w:rPr>
          <w:rFonts w:ascii="Arial" w:hAnsi="Arial" w:cs="Arial"/>
        </w:rPr>
        <w:t>permission in December 2020</w:t>
      </w:r>
      <w:r w:rsidR="0033211D">
        <w:rPr>
          <w:rFonts w:ascii="Arial" w:hAnsi="Arial" w:cs="Arial"/>
        </w:rPr>
        <w:t>.</w:t>
      </w:r>
      <w:r w:rsidR="00BF3BED">
        <w:rPr>
          <w:rFonts w:ascii="Arial" w:hAnsi="Arial" w:cs="Arial"/>
        </w:rPr>
        <w:t xml:space="preserve"> </w:t>
      </w:r>
      <w:r w:rsidR="00E1644D">
        <w:rPr>
          <w:rFonts w:ascii="Arial" w:hAnsi="Arial" w:cs="Arial"/>
        </w:rPr>
        <w:t xml:space="preserve">No sites are allocated in the </w:t>
      </w:r>
      <w:r w:rsidR="00A33866">
        <w:rPr>
          <w:rFonts w:ascii="Arial" w:hAnsi="Arial" w:cs="Arial"/>
        </w:rPr>
        <w:t xml:space="preserve">2014 </w:t>
      </w:r>
      <w:r w:rsidR="00E1644D">
        <w:rPr>
          <w:rFonts w:ascii="Arial" w:hAnsi="Arial" w:cs="Arial"/>
        </w:rPr>
        <w:t>Rotherham Core Strategy</w:t>
      </w:r>
      <w:r w:rsidR="0033211D">
        <w:rPr>
          <w:rFonts w:ascii="Arial" w:hAnsi="Arial" w:cs="Arial"/>
        </w:rPr>
        <w:t xml:space="preserve">. </w:t>
      </w:r>
    </w:p>
    <w:p w14:paraId="24DD557E" w14:textId="77777777" w:rsidR="001841D4" w:rsidRDefault="001841D4" w:rsidP="00D73374">
      <w:pPr>
        <w:spacing w:line="276" w:lineRule="auto"/>
        <w:rPr>
          <w:rFonts w:ascii="Arial" w:hAnsi="Arial" w:cs="Arial"/>
        </w:rPr>
      </w:pPr>
    </w:p>
    <w:p w14:paraId="662EAD2C" w14:textId="125CEDB0" w:rsidR="0033211D" w:rsidRDefault="006C5365" w:rsidP="00D73374">
      <w:pPr>
        <w:spacing w:after="240" w:line="276" w:lineRule="auto"/>
        <w:rPr>
          <w:rFonts w:ascii="Arial" w:hAnsi="Arial" w:cs="Arial"/>
        </w:rPr>
      </w:pPr>
      <w:r w:rsidRPr="00F650DC">
        <w:rPr>
          <w:rFonts w:ascii="Arial" w:hAnsi="Arial" w:cs="Arial"/>
        </w:rPr>
        <w:t xml:space="preserve">The </w:t>
      </w:r>
      <w:r w:rsidR="000A6367" w:rsidRPr="00F650DC">
        <w:rPr>
          <w:rFonts w:ascii="Arial" w:hAnsi="Arial" w:cs="Arial"/>
        </w:rPr>
        <w:t>20</w:t>
      </w:r>
      <w:r w:rsidR="00EE3028" w:rsidRPr="00F650DC">
        <w:rPr>
          <w:rFonts w:ascii="Arial" w:hAnsi="Arial" w:cs="Arial"/>
        </w:rPr>
        <w:t>23</w:t>
      </w:r>
      <w:r w:rsidRPr="00F650DC">
        <w:rPr>
          <w:rFonts w:ascii="Arial" w:hAnsi="Arial" w:cs="Arial"/>
        </w:rPr>
        <w:t xml:space="preserve"> landbanks show there is</w:t>
      </w:r>
      <w:r w:rsidR="00CC5787" w:rsidRPr="00F650DC">
        <w:rPr>
          <w:rFonts w:ascii="Arial" w:hAnsi="Arial" w:cs="Arial"/>
        </w:rPr>
        <w:t xml:space="preserve"> </w:t>
      </w:r>
      <w:r w:rsidR="00CD4AAF" w:rsidRPr="00F650DC">
        <w:rPr>
          <w:rFonts w:ascii="Arial" w:hAnsi="Arial" w:cs="Arial"/>
        </w:rPr>
        <w:t xml:space="preserve">currently </w:t>
      </w:r>
      <w:r w:rsidR="00CC5787" w:rsidRPr="00F650DC">
        <w:rPr>
          <w:rFonts w:ascii="Arial" w:hAnsi="Arial" w:cs="Arial"/>
        </w:rPr>
        <w:t>sufficient provision of crushed rock</w:t>
      </w:r>
      <w:r w:rsidRPr="00F650DC">
        <w:rPr>
          <w:rFonts w:ascii="Arial" w:hAnsi="Arial" w:cs="Arial"/>
        </w:rPr>
        <w:t>, sand and</w:t>
      </w:r>
      <w:r w:rsidRPr="006E3F42">
        <w:rPr>
          <w:rFonts w:ascii="Arial" w:hAnsi="Arial" w:cs="Arial"/>
        </w:rPr>
        <w:t xml:space="preserve"> gravel</w:t>
      </w:r>
      <w:r w:rsidR="001C11BD" w:rsidRPr="006E3F42">
        <w:rPr>
          <w:rFonts w:ascii="Arial" w:hAnsi="Arial" w:cs="Arial"/>
        </w:rPr>
        <w:t xml:space="preserve">. The sand and gravel landbank </w:t>
      </w:r>
      <w:proofErr w:type="gramStart"/>
      <w:r w:rsidR="001C11BD" w:rsidRPr="006E3F42">
        <w:rPr>
          <w:rFonts w:ascii="Arial" w:hAnsi="Arial" w:cs="Arial"/>
        </w:rPr>
        <w:t>has</w:t>
      </w:r>
      <w:proofErr w:type="gramEnd"/>
      <w:r w:rsidR="001C11BD" w:rsidRPr="006E3F42">
        <w:rPr>
          <w:rFonts w:ascii="Arial" w:hAnsi="Arial" w:cs="Arial"/>
        </w:rPr>
        <w:t xml:space="preserve"> </w:t>
      </w:r>
      <w:r w:rsidR="00EE3028">
        <w:rPr>
          <w:rFonts w:ascii="Arial" w:hAnsi="Arial" w:cs="Arial"/>
        </w:rPr>
        <w:t>decreased significantly due to a re-</w:t>
      </w:r>
      <w:r w:rsidR="00F37B7A">
        <w:rPr>
          <w:rFonts w:ascii="Arial" w:hAnsi="Arial" w:cs="Arial"/>
        </w:rPr>
        <w:t>calculation</w:t>
      </w:r>
      <w:r w:rsidR="00EE3028">
        <w:rPr>
          <w:rFonts w:ascii="Arial" w:hAnsi="Arial" w:cs="Arial"/>
        </w:rPr>
        <w:t xml:space="preserve"> of resources</w:t>
      </w:r>
      <w:r w:rsidR="00506CD5">
        <w:rPr>
          <w:rFonts w:ascii="Arial" w:hAnsi="Arial" w:cs="Arial"/>
        </w:rPr>
        <w:t xml:space="preserve">. The </w:t>
      </w:r>
      <w:r w:rsidR="001C11BD" w:rsidRPr="006E3F42">
        <w:rPr>
          <w:rFonts w:ascii="Arial" w:hAnsi="Arial" w:cs="Arial"/>
        </w:rPr>
        <w:t>Limestone</w:t>
      </w:r>
      <w:r w:rsidR="00506CD5">
        <w:rPr>
          <w:rFonts w:ascii="Arial" w:hAnsi="Arial" w:cs="Arial"/>
        </w:rPr>
        <w:t xml:space="preserve"> crushed rock </w:t>
      </w:r>
      <w:r w:rsidR="001C11BD" w:rsidRPr="006E3F42">
        <w:rPr>
          <w:rFonts w:ascii="Arial" w:hAnsi="Arial" w:cs="Arial"/>
        </w:rPr>
        <w:t xml:space="preserve">landbank has </w:t>
      </w:r>
      <w:r w:rsidR="00506CD5">
        <w:rPr>
          <w:rFonts w:ascii="Arial" w:hAnsi="Arial" w:cs="Arial"/>
        </w:rPr>
        <w:t>increased significantly</w:t>
      </w:r>
      <w:r w:rsidR="001C11BD" w:rsidRPr="006E3F42">
        <w:rPr>
          <w:rFonts w:ascii="Arial" w:hAnsi="Arial" w:cs="Arial"/>
        </w:rPr>
        <w:t xml:space="preserve">. </w:t>
      </w:r>
      <w:r w:rsidR="0042266E">
        <w:rPr>
          <w:rFonts w:ascii="Arial" w:hAnsi="Arial" w:cs="Arial"/>
        </w:rPr>
        <w:t xml:space="preserve">Even though </w:t>
      </w:r>
      <w:r w:rsidR="009D2F69">
        <w:rPr>
          <w:rFonts w:ascii="Arial" w:hAnsi="Arial" w:cs="Arial"/>
        </w:rPr>
        <w:t>the landbanks for both crushed rock and sand and gravel are in excess of the NPPF requirement, i</w:t>
      </w:r>
      <w:r w:rsidR="005F7678" w:rsidRPr="006E3F42">
        <w:rPr>
          <w:rFonts w:ascii="Arial" w:hAnsi="Arial" w:cs="Arial"/>
        </w:rPr>
        <w:t xml:space="preserve">t should be noted that </w:t>
      </w:r>
      <w:r w:rsidR="00B52AF1" w:rsidRPr="006E3F42">
        <w:rPr>
          <w:rFonts w:ascii="Arial" w:hAnsi="Arial" w:cs="Arial"/>
        </w:rPr>
        <w:t>Doncaster and Rotherham</w:t>
      </w:r>
      <w:r w:rsidR="0033211D" w:rsidRPr="006E3F42">
        <w:rPr>
          <w:rFonts w:ascii="Arial" w:hAnsi="Arial" w:cs="Arial"/>
        </w:rPr>
        <w:t xml:space="preserve"> </w:t>
      </w:r>
      <w:proofErr w:type="gramStart"/>
      <w:r w:rsidR="0033211D" w:rsidRPr="006E3F42">
        <w:rPr>
          <w:rFonts w:ascii="Arial" w:hAnsi="Arial" w:cs="Arial"/>
        </w:rPr>
        <w:t>is</w:t>
      </w:r>
      <w:proofErr w:type="gramEnd"/>
      <w:r w:rsidR="0033211D" w:rsidRPr="006E3F42">
        <w:rPr>
          <w:rFonts w:ascii="Arial" w:hAnsi="Arial" w:cs="Arial"/>
        </w:rPr>
        <w:t xml:space="preserve"> </w:t>
      </w:r>
      <w:r w:rsidR="001C11BD" w:rsidRPr="006E3F42">
        <w:rPr>
          <w:rFonts w:ascii="Arial" w:hAnsi="Arial" w:cs="Arial"/>
        </w:rPr>
        <w:t>(</w:t>
      </w:r>
      <w:r w:rsidR="0033211D" w:rsidRPr="006E3F42">
        <w:rPr>
          <w:rFonts w:ascii="Arial" w:hAnsi="Arial" w:cs="Arial"/>
        </w:rPr>
        <w:t>and will remain</w:t>
      </w:r>
      <w:r w:rsidR="001C11BD" w:rsidRPr="006E3F42">
        <w:rPr>
          <w:rFonts w:ascii="Arial" w:hAnsi="Arial" w:cs="Arial"/>
        </w:rPr>
        <w:t>)</w:t>
      </w:r>
      <w:r w:rsidR="0033211D" w:rsidRPr="006E3F42">
        <w:rPr>
          <w:rFonts w:ascii="Arial" w:hAnsi="Arial" w:cs="Arial"/>
        </w:rPr>
        <w:t xml:space="preserve"> reliant on imports of sand and gravel from other areas</w:t>
      </w:r>
      <w:r w:rsidR="00CD4AAF" w:rsidRPr="006E3F42">
        <w:rPr>
          <w:rFonts w:ascii="Arial" w:hAnsi="Arial" w:cs="Arial"/>
        </w:rPr>
        <w:t xml:space="preserve"> to meet development needs</w:t>
      </w:r>
      <w:r w:rsidR="0033211D" w:rsidRPr="006E3F42">
        <w:rPr>
          <w:rFonts w:ascii="Arial" w:hAnsi="Arial" w:cs="Arial"/>
        </w:rPr>
        <w:t>.</w:t>
      </w:r>
      <w:r w:rsidR="00360FC1">
        <w:rPr>
          <w:rFonts w:ascii="Arial" w:hAnsi="Arial" w:cs="Arial"/>
        </w:rPr>
        <w:t xml:space="preserve"> </w:t>
      </w:r>
    </w:p>
    <w:p w14:paraId="18B48311" w14:textId="1ACE56D6" w:rsidR="00BF0BD0" w:rsidRPr="00FC4E2D" w:rsidRDefault="00BF0BD0" w:rsidP="00D73374">
      <w:pPr>
        <w:pBdr>
          <w:top w:val="single" w:sz="4" w:space="1" w:color="auto" w:shadow="1"/>
          <w:left w:val="single" w:sz="4" w:space="4" w:color="auto" w:shadow="1"/>
          <w:bottom w:val="single" w:sz="4" w:space="1" w:color="auto" w:shadow="1"/>
          <w:right w:val="single" w:sz="4" w:space="4" w:color="auto" w:shadow="1"/>
        </w:pBdr>
        <w:spacing w:line="276" w:lineRule="auto"/>
        <w:rPr>
          <w:rFonts w:ascii="Arial" w:hAnsi="Arial" w:cs="Arial"/>
          <w:b/>
        </w:rPr>
      </w:pPr>
      <w:r w:rsidRPr="00FC4E2D">
        <w:rPr>
          <w:rFonts w:ascii="Arial" w:hAnsi="Arial" w:cs="Arial"/>
          <w:b/>
        </w:rPr>
        <w:t xml:space="preserve">Doncaster Local Plan </w:t>
      </w:r>
      <w:r w:rsidR="006434CA">
        <w:rPr>
          <w:rFonts w:ascii="Arial" w:hAnsi="Arial" w:cs="Arial"/>
          <w:b/>
        </w:rPr>
        <w:t xml:space="preserve">(and LAA) </w:t>
      </w:r>
      <w:r w:rsidR="00921F3A">
        <w:rPr>
          <w:rFonts w:ascii="Arial" w:hAnsi="Arial" w:cs="Arial"/>
          <w:b/>
        </w:rPr>
        <w:t>Provision</w:t>
      </w:r>
    </w:p>
    <w:p w14:paraId="6014E2A3" w14:textId="6438F3BE" w:rsidR="00BF0BD0" w:rsidRDefault="00FC4E2D" w:rsidP="00D73374">
      <w:pPr>
        <w:pBdr>
          <w:top w:val="single" w:sz="4" w:space="1" w:color="auto" w:shadow="1"/>
          <w:left w:val="single" w:sz="4" w:space="4" w:color="auto" w:shadow="1"/>
          <w:bottom w:val="single" w:sz="4" w:space="1" w:color="auto" w:shadow="1"/>
          <w:right w:val="single" w:sz="4" w:space="4" w:color="auto" w:shadow="1"/>
        </w:pBdr>
        <w:spacing w:line="276" w:lineRule="auto"/>
        <w:rPr>
          <w:rFonts w:ascii="Arial" w:hAnsi="Arial" w:cs="Arial"/>
        </w:rPr>
      </w:pPr>
      <w:r>
        <w:rPr>
          <w:rFonts w:ascii="Arial" w:hAnsi="Arial" w:cs="Arial"/>
        </w:rPr>
        <w:t>Sand and g</w:t>
      </w:r>
      <w:r w:rsidR="00BF0BD0">
        <w:rPr>
          <w:rFonts w:ascii="Arial" w:hAnsi="Arial" w:cs="Arial"/>
        </w:rPr>
        <w:t xml:space="preserve">ravel local provision = </w:t>
      </w:r>
      <w:r w:rsidR="00DA3A6E">
        <w:rPr>
          <w:rFonts w:ascii="Arial" w:hAnsi="Arial" w:cs="Arial"/>
        </w:rPr>
        <w:t>0.42</w:t>
      </w:r>
      <w:r w:rsidR="00BF0BD0">
        <w:rPr>
          <w:rFonts w:ascii="Arial" w:hAnsi="Arial" w:cs="Arial"/>
        </w:rPr>
        <w:t>Mt per annum</w:t>
      </w:r>
    </w:p>
    <w:p w14:paraId="1C4781A6" w14:textId="1150F631" w:rsidR="00F21DB4" w:rsidRDefault="00F21DB4" w:rsidP="00D73374">
      <w:pPr>
        <w:pBdr>
          <w:top w:val="single" w:sz="4" w:space="1" w:color="auto" w:shadow="1"/>
          <w:left w:val="single" w:sz="4" w:space="4" w:color="auto" w:shadow="1"/>
          <w:bottom w:val="single" w:sz="4" w:space="1" w:color="auto" w:shadow="1"/>
          <w:right w:val="single" w:sz="4" w:space="4" w:color="auto" w:shadow="1"/>
        </w:pBdr>
        <w:spacing w:line="276" w:lineRule="auto"/>
        <w:rPr>
          <w:rFonts w:ascii="Arial" w:hAnsi="Arial" w:cs="Arial"/>
        </w:rPr>
      </w:pPr>
      <w:r>
        <w:rPr>
          <w:rFonts w:ascii="Arial" w:hAnsi="Arial" w:cs="Arial"/>
        </w:rPr>
        <w:t xml:space="preserve">Crushed rock local provision = </w:t>
      </w:r>
      <w:r w:rsidR="0018668B">
        <w:rPr>
          <w:rFonts w:ascii="Arial" w:hAnsi="Arial" w:cs="Arial"/>
        </w:rPr>
        <w:t>is</w:t>
      </w:r>
      <w:r>
        <w:rPr>
          <w:rFonts w:ascii="Arial" w:hAnsi="Arial" w:cs="Arial"/>
        </w:rPr>
        <w:t xml:space="preserve"> 2Mt</w:t>
      </w:r>
      <w:r w:rsidR="007D7E1F">
        <w:rPr>
          <w:rFonts w:ascii="Arial" w:hAnsi="Arial" w:cs="Arial"/>
        </w:rPr>
        <w:t xml:space="preserve"> per annum</w:t>
      </w:r>
    </w:p>
    <w:p w14:paraId="1ADDEFF9" w14:textId="2519C9E0" w:rsidR="00360FC1" w:rsidRPr="00360FC1" w:rsidRDefault="00360FC1" w:rsidP="00D73374">
      <w:pPr>
        <w:spacing w:before="240" w:line="276" w:lineRule="auto"/>
        <w:rPr>
          <w:rFonts w:ascii="Arial" w:hAnsi="Arial" w:cs="Arial"/>
          <w:b/>
        </w:rPr>
      </w:pPr>
      <w:r w:rsidRPr="00360FC1">
        <w:rPr>
          <w:rFonts w:ascii="Arial" w:hAnsi="Arial" w:cs="Arial"/>
          <w:b/>
        </w:rPr>
        <w:t>Addendum</w:t>
      </w:r>
    </w:p>
    <w:p w14:paraId="12096DE5" w14:textId="23C2C22B" w:rsidR="00946FF1" w:rsidRPr="001314BE" w:rsidRDefault="00BE6D77" w:rsidP="00D73374">
      <w:pPr>
        <w:spacing w:after="160" w:line="276" w:lineRule="auto"/>
        <w:rPr>
          <w:rFonts w:ascii="Arial" w:hAnsi="Arial" w:cs="Arial"/>
        </w:rPr>
      </w:pPr>
      <w:r w:rsidRPr="00F650DC">
        <w:rPr>
          <w:rFonts w:ascii="Arial" w:hAnsi="Arial" w:cs="Arial"/>
        </w:rPr>
        <w:t>Getting m</w:t>
      </w:r>
      <w:r w:rsidR="00360FC1" w:rsidRPr="00F650DC">
        <w:rPr>
          <w:rFonts w:ascii="Arial" w:hAnsi="Arial" w:cs="Arial"/>
        </w:rPr>
        <w:t xml:space="preserve">onitoring returns from </w:t>
      </w:r>
      <w:r w:rsidR="00CF4874" w:rsidRPr="00F650DC">
        <w:rPr>
          <w:rFonts w:ascii="Arial" w:hAnsi="Arial" w:cs="Arial"/>
        </w:rPr>
        <w:t>non-BAA</w:t>
      </w:r>
      <w:r w:rsidR="006255CE" w:rsidRPr="00F650DC">
        <w:rPr>
          <w:rFonts w:ascii="Arial" w:hAnsi="Arial" w:cs="Arial"/>
        </w:rPr>
        <w:t xml:space="preserve"> / MPA </w:t>
      </w:r>
      <w:r w:rsidR="00360FC1" w:rsidRPr="00F650DC">
        <w:rPr>
          <w:rFonts w:ascii="Arial" w:hAnsi="Arial" w:cs="Arial"/>
        </w:rPr>
        <w:t xml:space="preserve">operators </w:t>
      </w:r>
      <w:r w:rsidRPr="00F650DC">
        <w:rPr>
          <w:rFonts w:ascii="Arial" w:hAnsi="Arial" w:cs="Arial"/>
        </w:rPr>
        <w:t>continues to be</w:t>
      </w:r>
      <w:r w:rsidR="00360FC1" w:rsidRPr="00F650DC">
        <w:rPr>
          <w:rFonts w:ascii="Arial" w:hAnsi="Arial" w:cs="Arial"/>
        </w:rPr>
        <w:t xml:space="preserve"> difficult </w:t>
      </w:r>
      <w:r w:rsidR="00BE49B0" w:rsidRPr="00F650DC">
        <w:rPr>
          <w:rFonts w:ascii="Arial" w:hAnsi="Arial" w:cs="Arial"/>
        </w:rPr>
        <w:t>with smaller operators regularly failing to provide returns.</w:t>
      </w:r>
      <w:r w:rsidR="00360FC1" w:rsidRPr="00F650DC">
        <w:rPr>
          <w:rFonts w:ascii="Arial" w:hAnsi="Arial" w:cs="Arial"/>
        </w:rPr>
        <w:t xml:space="preserve"> This year’s monitoring return and L</w:t>
      </w:r>
      <w:r w:rsidR="00984665" w:rsidRPr="00F650DC">
        <w:rPr>
          <w:rFonts w:ascii="Arial" w:hAnsi="Arial" w:cs="Arial"/>
        </w:rPr>
        <w:t xml:space="preserve">ocal </w:t>
      </w:r>
      <w:r w:rsidR="00360FC1" w:rsidRPr="00F650DC">
        <w:rPr>
          <w:rFonts w:ascii="Arial" w:hAnsi="Arial" w:cs="Arial"/>
        </w:rPr>
        <w:t>A</w:t>
      </w:r>
      <w:r w:rsidR="00984665" w:rsidRPr="00F650DC">
        <w:rPr>
          <w:rFonts w:ascii="Arial" w:hAnsi="Arial" w:cs="Arial"/>
        </w:rPr>
        <w:t xml:space="preserve">ggregate </w:t>
      </w:r>
      <w:r w:rsidR="00360FC1" w:rsidRPr="00F650DC">
        <w:rPr>
          <w:rFonts w:ascii="Arial" w:hAnsi="Arial" w:cs="Arial"/>
        </w:rPr>
        <w:t>A</w:t>
      </w:r>
      <w:r w:rsidR="00984665" w:rsidRPr="00F650DC">
        <w:rPr>
          <w:rFonts w:ascii="Arial" w:hAnsi="Arial" w:cs="Arial"/>
        </w:rPr>
        <w:t>ssessment</w:t>
      </w:r>
      <w:r w:rsidR="00360FC1" w:rsidRPr="00F650DC">
        <w:rPr>
          <w:rFonts w:ascii="Arial" w:hAnsi="Arial" w:cs="Arial"/>
        </w:rPr>
        <w:t xml:space="preserve"> includes estimates </w:t>
      </w:r>
      <w:r w:rsidR="00EB00AC" w:rsidRPr="00F650DC">
        <w:rPr>
          <w:rFonts w:ascii="Arial" w:hAnsi="Arial" w:cs="Arial"/>
        </w:rPr>
        <w:t>sourced</w:t>
      </w:r>
      <w:r w:rsidR="00360FC1" w:rsidRPr="00F650DC">
        <w:rPr>
          <w:rFonts w:ascii="Arial" w:hAnsi="Arial" w:cs="Arial"/>
        </w:rPr>
        <w:t xml:space="preserve"> from planning application in</w:t>
      </w:r>
      <w:r w:rsidR="00F93B52" w:rsidRPr="00F650DC">
        <w:rPr>
          <w:rFonts w:ascii="Arial" w:hAnsi="Arial" w:cs="Arial"/>
        </w:rPr>
        <w:t xml:space="preserve">formation, </w:t>
      </w:r>
      <w:r w:rsidR="00984665" w:rsidRPr="00F650DC">
        <w:rPr>
          <w:rFonts w:ascii="Arial" w:hAnsi="Arial" w:cs="Arial"/>
        </w:rPr>
        <w:t>pr</w:t>
      </w:r>
      <w:r w:rsidR="006255CE" w:rsidRPr="00F650DC">
        <w:rPr>
          <w:rFonts w:ascii="Arial" w:hAnsi="Arial" w:cs="Arial"/>
        </w:rPr>
        <w:t>ior</w:t>
      </w:r>
      <w:r w:rsidR="00984665" w:rsidRPr="00F650DC">
        <w:rPr>
          <w:rFonts w:ascii="Arial" w:hAnsi="Arial" w:cs="Arial"/>
        </w:rPr>
        <w:t xml:space="preserve"> monitoring</w:t>
      </w:r>
      <w:r w:rsidR="00F93B52" w:rsidRPr="00F650DC">
        <w:rPr>
          <w:rFonts w:ascii="Arial" w:hAnsi="Arial" w:cs="Arial"/>
        </w:rPr>
        <w:t xml:space="preserve"> and telephone conversations with operators</w:t>
      </w:r>
      <w:r w:rsidR="00360FC1" w:rsidRPr="00F650DC">
        <w:rPr>
          <w:rFonts w:ascii="Arial" w:hAnsi="Arial" w:cs="Arial"/>
        </w:rPr>
        <w:t xml:space="preserve">. </w:t>
      </w:r>
      <w:r w:rsidR="00670237" w:rsidRPr="00F650DC">
        <w:rPr>
          <w:rFonts w:ascii="Arial" w:hAnsi="Arial" w:cs="Arial"/>
        </w:rPr>
        <w:t xml:space="preserve">As a result of the increase in operators failing to provide monitoring information (and to meet with NPPF requirements) </w:t>
      </w:r>
      <w:r w:rsidR="00F650DC" w:rsidRPr="00F650DC">
        <w:rPr>
          <w:rFonts w:ascii="Arial" w:hAnsi="Arial" w:cs="Arial"/>
        </w:rPr>
        <w:t xml:space="preserve">all </w:t>
      </w:r>
      <w:r w:rsidR="00670237" w:rsidRPr="00F650DC">
        <w:rPr>
          <w:rFonts w:ascii="Arial" w:hAnsi="Arial" w:cs="Arial"/>
        </w:rPr>
        <w:t>new aggregate mineral planning permissions in Doncaster will include an annual monitoring condition.</w:t>
      </w:r>
    </w:p>
    <w:p w14:paraId="7E458F7F" w14:textId="3EB3C7EC" w:rsidR="00410ADB" w:rsidRPr="00940F0D" w:rsidRDefault="00B8351E" w:rsidP="00D73374">
      <w:pPr>
        <w:pStyle w:val="Heading1"/>
        <w:spacing w:before="0" w:after="240"/>
        <w:rPr>
          <w:rFonts w:ascii="Arial" w:eastAsia="Times New Roman" w:hAnsi="Arial" w:cs="Arial"/>
          <w:color w:val="auto"/>
          <w:sz w:val="26"/>
          <w:szCs w:val="26"/>
        </w:rPr>
      </w:pPr>
      <w:bookmarkStart w:id="1" w:name="_Toc198549793"/>
      <w:r w:rsidRPr="00940F0D">
        <w:rPr>
          <w:rFonts w:ascii="Arial" w:eastAsia="Times New Roman" w:hAnsi="Arial" w:cs="Arial"/>
          <w:color w:val="auto"/>
          <w:sz w:val="26"/>
          <w:szCs w:val="26"/>
        </w:rPr>
        <w:lastRenderedPageBreak/>
        <w:t>Introduction</w:t>
      </w:r>
      <w:bookmarkEnd w:id="1"/>
      <w:r w:rsidRPr="00940F0D">
        <w:rPr>
          <w:rFonts w:ascii="Arial" w:eastAsia="Times New Roman" w:hAnsi="Arial" w:cs="Arial"/>
          <w:color w:val="auto"/>
          <w:sz w:val="26"/>
          <w:szCs w:val="26"/>
        </w:rPr>
        <w:t xml:space="preserve"> </w:t>
      </w:r>
    </w:p>
    <w:p w14:paraId="4D9F054E" w14:textId="41B48DCF" w:rsidR="008E18A9" w:rsidRPr="008E18A9" w:rsidRDefault="00FE5ABE" w:rsidP="00D73374">
      <w:pPr>
        <w:numPr>
          <w:ilvl w:val="0"/>
          <w:numId w:val="3"/>
        </w:numPr>
        <w:spacing w:before="240" w:after="200" w:line="276" w:lineRule="auto"/>
        <w:ind w:left="426"/>
        <w:rPr>
          <w:rFonts w:ascii="Arial" w:eastAsia="Times New Roman" w:hAnsi="Arial" w:cs="Arial"/>
        </w:rPr>
      </w:pPr>
      <w:r w:rsidRPr="008E18A9">
        <w:rPr>
          <w:rFonts w:ascii="Arial" w:eastAsia="Times New Roman" w:hAnsi="Arial" w:cs="Arial"/>
        </w:rPr>
        <w:t>The Government</w:t>
      </w:r>
      <w:r w:rsidR="008E18A9" w:rsidRPr="008E18A9">
        <w:rPr>
          <w:rFonts w:ascii="Arial" w:eastAsia="Times New Roman" w:hAnsi="Arial" w:cs="Arial"/>
        </w:rPr>
        <w:t xml:space="preserve"> through the</w:t>
      </w:r>
      <w:r w:rsidR="00275DFD">
        <w:rPr>
          <w:rFonts w:ascii="Arial" w:eastAsia="Times New Roman" w:hAnsi="Arial" w:cs="Arial"/>
        </w:rPr>
        <w:t xml:space="preserve"> 202</w:t>
      </w:r>
      <w:r w:rsidR="00537936">
        <w:rPr>
          <w:rFonts w:ascii="Arial" w:eastAsia="Times New Roman" w:hAnsi="Arial" w:cs="Arial"/>
        </w:rPr>
        <w:t>3</w:t>
      </w:r>
      <w:r w:rsidR="008E18A9" w:rsidRPr="008E18A9">
        <w:rPr>
          <w:rFonts w:ascii="Arial" w:eastAsia="Times New Roman" w:hAnsi="Arial" w:cs="Arial"/>
        </w:rPr>
        <w:t xml:space="preserve"> </w:t>
      </w:r>
      <w:r w:rsidRPr="008E18A9">
        <w:rPr>
          <w:rFonts w:ascii="Arial" w:eastAsia="Times New Roman" w:hAnsi="Arial" w:cs="Arial"/>
        </w:rPr>
        <w:t>National Planning Policy Framework</w:t>
      </w:r>
      <w:r w:rsidR="008E18A9" w:rsidRPr="008E18A9">
        <w:rPr>
          <w:rFonts w:ascii="Arial" w:eastAsia="Times New Roman" w:hAnsi="Arial" w:cs="Arial"/>
        </w:rPr>
        <w:t xml:space="preserve"> </w:t>
      </w:r>
      <w:r>
        <w:rPr>
          <w:rFonts w:ascii="Arial" w:eastAsia="Times New Roman" w:hAnsi="Arial" w:cs="Arial"/>
        </w:rPr>
        <w:t xml:space="preserve">(NPPF) </w:t>
      </w:r>
      <w:r w:rsidR="008E18A9" w:rsidRPr="008E18A9">
        <w:rPr>
          <w:rFonts w:ascii="Arial" w:eastAsia="Times New Roman" w:hAnsi="Arial" w:cs="Arial"/>
        </w:rPr>
        <w:t xml:space="preserve">states ‘It is essential that there is a sufficient supply of minerals to provide the infrastructure, buildings, </w:t>
      </w:r>
      <w:r w:rsidR="000A02F2" w:rsidRPr="008E18A9">
        <w:rPr>
          <w:rFonts w:ascii="Arial" w:eastAsia="Times New Roman" w:hAnsi="Arial" w:cs="Arial"/>
        </w:rPr>
        <w:t>energy</w:t>
      </w:r>
      <w:r w:rsidR="00254CA9">
        <w:rPr>
          <w:rFonts w:ascii="Arial" w:eastAsia="Times New Roman" w:hAnsi="Arial" w:cs="Arial"/>
        </w:rPr>
        <w:t xml:space="preserve"> </w:t>
      </w:r>
      <w:r w:rsidR="008E18A9" w:rsidRPr="008E18A9">
        <w:rPr>
          <w:rFonts w:ascii="Arial" w:eastAsia="Times New Roman" w:hAnsi="Arial" w:cs="Arial"/>
        </w:rPr>
        <w:t>and goods that the country needs</w:t>
      </w:r>
      <w:r w:rsidR="006E3F73">
        <w:rPr>
          <w:rStyle w:val="FootnoteReference"/>
          <w:rFonts w:ascii="Arial" w:eastAsia="Times New Roman" w:hAnsi="Arial" w:cs="Arial"/>
        </w:rPr>
        <w:footnoteReference w:id="4"/>
      </w:r>
      <w:r w:rsidR="008E18A9" w:rsidRPr="008E18A9">
        <w:rPr>
          <w:rFonts w:ascii="Arial" w:eastAsia="Times New Roman" w:hAnsi="Arial" w:cs="Arial"/>
        </w:rPr>
        <w:t>. Since minerals are a finite natural resource, and can only be worked where they are found, best use needs to be made of them to secure their long-term conservation’ and accordingly that “Minerals Planning Authorities (MPAs) should plan for a steady and adequate supply</w:t>
      </w:r>
      <w:r w:rsidR="008E18A9">
        <w:rPr>
          <w:rFonts w:ascii="Arial" w:eastAsia="Times New Roman" w:hAnsi="Arial" w:cs="Arial"/>
        </w:rPr>
        <w:t xml:space="preserve"> of aggregates</w:t>
      </w:r>
      <w:r w:rsidR="008E18A9" w:rsidRPr="005B210A">
        <w:rPr>
          <w:rFonts w:ascii="Arial" w:eastAsia="Times New Roman" w:hAnsi="Arial" w:cs="Arial"/>
        </w:rPr>
        <w:t>...”</w:t>
      </w:r>
    </w:p>
    <w:p w14:paraId="689B5913" w14:textId="24526C32" w:rsidR="008E18A9" w:rsidRPr="005B210A" w:rsidRDefault="008E18A9" w:rsidP="00D73374">
      <w:pPr>
        <w:numPr>
          <w:ilvl w:val="0"/>
          <w:numId w:val="3"/>
        </w:numPr>
        <w:spacing w:before="240" w:after="200" w:line="276" w:lineRule="auto"/>
        <w:ind w:left="426"/>
        <w:rPr>
          <w:rFonts w:ascii="Arial" w:eastAsia="Times New Roman" w:hAnsi="Arial" w:cs="Arial"/>
        </w:rPr>
      </w:pPr>
      <w:r w:rsidRPr="008E18A9">
        <w:rPr>
          <w:rFonts w:ascii="Arial" w:eastAsia="Times New Roman" w:hAnsi="Arial" w:cs="Arial"/>
        </w:rPr>
        <w:t xml:space="preserve">The NPPF also states that </w:t>
      </w:r>
      <w:r w:rsidR="005B210A">
        <w:rPr>
          <w:rFonts w:ascii="Arial" w:eastAsia="Times New Roman" w:hAnsi="Arial" w:cs="Arial"/>
        </w:rPr>
        <w:t>local planning policy</w:t>
      </w:r>
      <w:r w:rsidRPr="008E18A9">
        <w:rPr>
          <w:rFonts w:ascii="Arial" w:eastAsia="Times New Roman" w:hAnsi="Arial" w:cs="Arial"/>
        </w:rPr>
        <w:t xml:space="preserve"> should “so far as practicable,</w:t>
      </w:r>
      <w:r w:rsidR="000D11C6">
        <w:rPr>
          <w:rFonts w:ascii="Arial" w:eastAsia="Times New Roman" w:hAnsi="Arial" w:cs="Arial"/>
        </w:rPr>
        <w:t xml:space="preserve"> </w:t>
      </w:r>
      <w:r w:rsidRPr="008E18A9">
        <w:rPr>
          <w:rFonts w:ascii="Arial" w:eastAsia="Times New Roman" w:hAnsi="Arial" w:cs="Arial"/>
        </w:rPr>
        <w:t>take account of the contribution that substitute or secondary and recycled materials and minerals wast</w:t>
      </w:r>
      <w:r w:rsidR="00FE5ABE">
        <w:rPr>
          <w:rFonts w:ascii="Arial" w:eastAsia="Times New Roman" w:hAnsi="Arial" w:cs="Arial"/>
        </w:rPr>
        <w:t xml:space="preserve">e would make to the supply of </w:t>
      </w:r>
      <w:r w:rsidRPr="008E18A9">
        <w:rPr>
          <w:rFonts w:ascii="Arial" w:eastAsia="Times New Roman" w:hAnsi="Arial" w:cs="Arial"/>
        </w:rPr>
        <w:t>materials, before considering extraction of primary materials, whilst aiming to source minerals suppli</w:t>
      </w:r>
      <w:r w:rsidR="00FE5ABE">
        <w:rPr>
          <w:rFonts w:ascii="Arial" w:eastAsia="Times New Roman" w:hAnsi="Arial" w:cs="Arial"/>
        </w:rPr>
        <w:t xml:space="preserve">es indigenously” </w:t>
      </w:r>
      <w:r w:rsidR="00FE5ABE" w:rsidRPr="005B210A">
        <w:rPr>
          <w:rFonts w:ascii="Arial" w:eastAsia="Times New Roman" w:hAnsi="Arial" w:cs="Arial"/>
        </w:rPr>
        <w:t>(para. 2</w:t>
      </w:r>
      <w:r w:rsidR="005B210A" w:rsidRPr="005B210A">
        <w:rPr>
          <w:rFonts w:ascii="Arial" w:eastAsia="Times New Roman" w:hAnsi="Arial" w:cs="Arial"/>
        </w:rPr>
        <w:t>1</w:t>
      </w:r>
      <w:r w:rsidR="00C364F8">
        <w:rPr>
          <w:rFonts w:ascii="Arial" w:eastAsia="Times New Roman" w:hAnsi="Arial" w:cs="Arial"/>
        </w:rPr>
        <w:t>6</w:t>
      </w:r>
      <w:r w:rsidRPr="005B210A">
        <w:rPr>
          <w:rFonts w:ascii="Arial" w:eastAsia="Times New Roman" w:hAnsi="Arial" w:cs="Arial"/>
        </w:rPr>
        <w:t xml:space="preserve"> second bullet). </w:t>
      </w:r>
    </w:p>
    <w:p w14:paraId="2AB522A4" w14:textId="6AB67337" w:rsidR="008E18A9" w:rsidRPr="008E18A9" w:rsidRDefault="008E18A9" w:rsidP="00D73374">
      <w:pPr>
        <w:numPr>
          <w:ilvl w:val="0"/>
          <w:numId w:val="3"/>
        </w:numPr>
        <w:spacing w:before="240" w:after="200" w:line="276" w:lineRule="auto"/>
        <w:ind w:left="426"/>
        <w:rPr>
          <w:rFonts w:ascii="Arial" w:eastAsia="Times New Roman" w:hAnsi="Arial" w:cs="Arial"/>
        </w:rPr>
      </w:pPr>
      <w:r w:rsidRPr="008E18A9">
        <w:rPr>
          <w:rFonts w:ascii="Arial" w:eastAsia="Times New Roman" w:hAnsi="Arial" w:cs="Arial"/>
        </w:rPr>
        <w:t xml:space="preserve">The NPPF identifies that MPAs should prepare Mineral Local Plans (MLPs) that make provision and include policies for the extraction of mineral resource of local and national importance, define safeguarding areas, and set out environmental criteria against which planning applications will be </w:t>
      </w:r>
      <w:r w:rsidR="005B210A">
        <w:rPr>
          <w:rFonts w:ascii="Arial" w:eastAsia="Times New Roman" w:hAnsi="Arial" w:cs="Arial"/>
        </w:rPr>
        <w:t>a</w:t>
      </w:r>
      <w:r w:rsidRPr="008E18A9">
        <w:rPr>
          <w:rFonts w:ascii="Arial" w:eastAsia="Times New Roman" w:hAnsi="Arial" w:cs="Arial"/>
        </w:rPr>
        <w:t>ssessed. Annual Local Aggregate Assessment</w:t>
      </w:r>
      <w:r w:rsidR="004C5591">
        <w:rPr>
          <w:rFonts w:ascii="Arial" w:eastAsia="Times New Roman" w:hAnsi="Arial" w:cs="Arial"/>
        </w:rPr>
        <w:t>s</w:t>
      </w:r>
      <w:r w:rsidRPr="008E18A9">
        <w:rPr>
          <w:rFonts w:ascii="Arial" w:eastAsia="Times New Roman" w:hAnsi="Arial" w:cs="Arial"/>
        </w:rPr>
        <w:t xml:space="preserve"> (LAA)</w:t>
      </w:r>
      <w:r w:rsidR="004F45FA">
        <w:rPr>
          <w:rFonts w:ascii="Arial" w:eastAsia="Times New Roman" w:hAnsi="Arial" w:cs="Arial"/>
        </w:rPr>
        <w:t xml:space="preserve"> contribute to this plan making process</w:t>
      </w:r>
      <w:r w:rsidRPr="008E18A9">
        <w:rPr>
          <w:rFonts w:ascii="Arial" w:eastAsia="Times New Roman" w:hAnsi="Arial" w:cs="Arial"/>
        </w:rPr>
        <w:t>. The LAA will facilitate the monitoring of supply and demand which will input into the provision needed in MLPs.</w:t>
      </w:r>
      <w:r w:rsidR="00897BD2">
        <w:rPr>
          <w:rFonts w:ascii="Arial" w:eastAsia="Times New Roman" w:hAnsi="Arial" w:cs="Arial"/>
        </w:rPr>
        <w:t xml:space="preserve"> Doncaster and Rotherham’s</w:t>
      </w:r>
      <w:r w:rsidRPr="008E18A9">
        <w:rPr>
          <w:rFonts w:ascii="Arial" w:eastAsia="Times New Roman" w:hAnsi="Arial" w:cs="Arial"/>
        </w:rPr>
        <w:t xml:space="preserve"> </w:t>
      </w:r>
      <w:r w:rsidR="00312E2B">
        <w:rPr>
          <w:rFonts w:ascii="Arial" w:eastAsia="Times New Roman" w:hAnsi="Arial" w:cs="Arial"/>
        </w:rPr>
        <w:t xml:space="preserve">Minerals </w:t>
      </w:r>
      <w:r w:rsidR="00341598">
        <w:rPr>
          <w:rFonts w:ascii="Arial" w:eastAsia="Times New Roman" w:hAnsi="Arial" w:cs="Arial"/>
        </w:rPr>
        <w:t xml:space="preserve">(MLP) </w:t>
      </w:r>
      <w:r w:rsidR="007D66CC">
        <w:rPr>
          <w:rFonts w:ascii="Arial" w:eastAsia="Times New Roman" w:hAnsi="Arial" w:cs="Arial"/>
        </w:rPr>
        <w:t xml:space="preserve">is within </w:t>
      </w:r>
      <w:r w:rsidR="00312E2B">
        <w:rPr>
          <w:rFonts w:ascii="Arial" w:eastAsia="Times New Roman" w:hAnsi="Arial" w:cs="Arial"/>
        </w:rPr>
        <w:t xml:space="preserve">the Doncaster Local Plan </w:t>
      </w:r>
      <w:r w:rsidR="006B2D2F">
        <w:rPr>
          <w:rFonts w:ascii="Arial" w:eastAsia="Times New Roman" w:hAnsi="Arial" w:cs="Arial"/>
        </w:rPr>
        <w:t xml:space="preserve">(2015 to 2035) </w:t>
      </w:r>
      <w:r w:rsidR="00312E2B">
        <w:rPr>
          <w:rFonts w:ascii="Arial" w:eastAsia="Times New Roman" w:hAnsi="Arial" w:cs="Arial"/>
        </w:rPr>
        <w:t>Chapter</w:t>
      </w:r>
      <w:r w:rsidR="00C07B41">
        <w:rPr>
          <w:rFonts w:ascii="Arial" w:eastAsia="Times New Roman" w:hAnsi="Arial" w:cs="Arial"/>
        </w:rPr>
        <w:t xml:space="preserve"> 14 and </w:t>
      </w:r>
      <w:r w:rsidR="00730174">
        <w:rPr>
          <w:rFonts w:ascii="Arial" w:eastAsia="Times New Roman" w:hAnsi="Arial" w:cs="Arial"/>
        </w:rPr>
        <w:t>the Rotherham Local Plan Core Strategy (2013 to</w:t>
      </w:r>
      <w:r w:rsidR="006B2D2F">
        <w:rPr>
          <w:rFonts w:ascii="Arial" w:eastAsia="Times New Roman" w:hAnsi="Arial" w:cs="Arial"/>
        </w:rPr>
        <w:t xml:space="preserve"> 2028)</w:t>
      </w:r>
      <w:r w:rsidR="00826283">
        <w:rPr>
          <w:rFonts w:ascii="Arial" w:eastAsia="Times New Roman" w:hAnsi="Arial" w:cs="Arial"/>
        </w:rPr>
        <w:t xml:space="preserve">. </w:t>
      </w:r>
      <w:r w:rsidR="00826283" w:rsidRPr="008E18A9">
        <w:rPr>
          <w:rFonts w:ascii="Arial" w:eastAsia="Times New Roman" w:hAnsi="Arial" w:cs="Arial"/>
        </w:rPr>
        <w:t>LAAs serve several functions, acting as</w:t>
      </w:r>
      <w:r w:rsidR="000028F8">
        <w:rPr>
          <w:rFonts w:ascii="Arial" w:eastAsia="Times New Roman" w:hAnsi="Arial" w:cs="Arial"/>
        </w:rPr>
        <w:t>:</w:t>
      </w:r>
    </w:p>
    <w:p w14:paraId="262F65CE" w14:textId="76791D4A" w:rsidR="008E18A9" w:rsidRPr="008E18A9" w:rsidRDefault="008E18A9" w:rsidP="00D73374">
      <w:pPr>
        <w:numPr>
          <w:ilvl w:val="0"/>
          <w:numId w:val="35"/>
        </w:numPr>
        <w:spacing w:line="276" w:lineRule="auto"/>
        <w:rPr>
          <w:rFonts w:ascii="Arial" w:eastAsia="Times New Roman" w:hAnsi="Arial" w:cs="Arial"/>
        </w:rPr>
      </w:pPr>
      <w:r w:rsidRPr="008E18A9">
        <w:rPr>
          <w:rFonts w:ascii="Arial" w:eastAsia="Times New Roman" w:hAnsi="Arial" w:cs="Times New Roman"/>
        </w:rPr>
        <w:t>Monitoring Reports</w:t>
      </w:r>
      <w:r w:rsidR="000A02F2">
        <w:rPr>
          <w:rFonts w:ascii="Arial" w:eastAsia="Times New Roman" w:hAnsi="Arial" w:cs="Times New Roman"/>
        </w:rPr>
        <w:t>,</w:t>
      </w:r>
    </w:p>
    <w:p w14:paraId="03614B1C" w14:textId="14CD2B02" w:rsidR="008E18A9" w:rsidRPr="008E18A9" w:rsidRDefault="008E18A9" w:rsidP="00D73374">
      <w:pPr>
        <w:numPr>
          <w:ilvl w:val="0"/>
          <w:numId w:val="35"/>
        </w:numPr>
        <w:spacing w:line="276" w:lineRule="auto"/>
        <w:rPr>
          <w:rFonts w:ascii="Arial" w:eastAsia="Calibri" w:hAnsi="Arial" w:cs="Arial"/>
        </w:rPr>
      </w:pPr>
      <w:r w:rsidRPr="008E18A9">
        <w:rPr>
          <w:rFonts w:ascii="Arial" w:eastAsia="Times New Roman" w:hAnsi="Arial" w:cs="Arial"/>
        </w:rPr>
        <w:t>Supporting evidence for preparation or review of Minerals Local Plans</w:t>
      </w:r>
      <w:r w:rsidR="000A02F2">
        <w:rPr>
          <w:rFonts w:ascii="Arial" w:eastAsia="Times New Roman" w:hAnsi="Arial" w:cs="Arial"/>
        </w:rPr>
        <w:t>,</w:t>
      </w:r>
    </w:p>
    <w:p w14:paraId="468B2F4A" w14:textId="1DF7964A" w:rsidR="008E18A9" w:rsidRPr="008E18A9" w:rsidRDefault="008E18A9" w:rsidP="00D73374">
      <w:pPr>
        <w:numPr>
          <w:ilvl w:val="0"/>
          <w:numId w:val="35"/>
        </w:numPr>
        <w:spacing w:line="276" w:lineRule="auto"/>
        <w:rPr>
          <w:rFonts w:ascii="Arial" w:eastAsia="Calibri" w:hAnsi="Arial" w:cs="Arial"/>
        </w:rPr>
      </w:pPr>
      <w:r w:rsidRPr="008E18A9">
        <w:rPr>
          <w:rFonts w:ascii="Arial" w:eastAsia="Times New Roman" w:hAnsi="Arial" w:cs="Arial"/>
        </w:rPr>
        <w:t>Supporting evidence for calculation of landbanks</w:t>
      </w:r>
      <w:r w:rsidR="000A02F2">
        <w:rPr>
          <w:rFonts w:ascii="Arial" w:eastAsia="Times New Roman" w:hAnsi="Arial" w:cs="Arial"/>
        </w:rPr>
        <w:t>,</w:t>
      </w:r>
    </w:p>
    <w:p w14:paraId="64A1F39C" w14:textId="7EF3172F" w:rsidR="008E18A9" w:rsidRPr="008E18A9" w:rsidRDefault="008E18A9" w:rsidP="00D73374">
      <w:pPr>
        <w:numPr>
          <w:ilvl w:val="0"/>
          <w:numId w:val="35"/>
        </w:numPr>
        <w:spacing w:after="240" w:line="276" w:lineRule="auto"/>
        <w:rPr>
          <w:rFonts w:ascii="Arial" w:eastAsia="Calibri" w:hAnsi="Arial" w:cs="Arial"/>
        </w:rPr>
      </w:pPr>
      <w:r w:rsidRPr="008E18A9">
        <w:rPr>
          <w:rFonts w:ascii="Arial" w:eastAsia="Times New Roman" w:hAnsi="Arial" w:cs="Arial"/>
        </w:rPr>
        <w:t>Supporting evidence for planning applications</w:t>
      </w:r>
      <w:r w:rsidRPr="008E18A9">
        <w:rPr>
          <w:rFonts w:ascii="Arial" w:eastAsia="Calibri" w:hAnsi="Arial" w:cs="Arial"/>
        </w:rPr>
        <w:t>.</w:t>
      </w:r>
    </w:p>
    <w:p w14:paraId="340B9DAF" w14:textId="368416B8" w:rsidR="008E18A9" w:rsidRPr="008E18A9" w:rsidRDefault="008E18A9" w:rsidP="00D73374">
      <w:pPr>
        <w:numPr>
          <w:ilvl w:val="0"/>
          <w:numId w:val="3"/>
        </w:numPr>
        <w:spacing w:after="200" w:line="276" w:lineRule="auto"/>
        <w:ind w:left="426"/>
        <w:rPr>
          <w:rFonts w:ascii="Arial" w:eastAsia="Times New Roman" w:hAnsi="Arial" w:cs="Arial"/>
        </w:rPr>
      </w:pPr>
      <w:r w:rsidRPr="008E18A9">
        <w:rPr>
          <w:rFonts w:ascii="Arial" w:eastAsia="Times New Roman" w:hAnsi="Arial" w:cs="Arial"/>
        </w:rPr>
        <w:t>National guidance states LAAs can be produced independently, jointly or in agreement with other Local Authorities</w:t>
      </w:r>
      <w:r w:rsidR="002E4308" w:rsidRPr="008E18A9">
        <w:rPr>
          <w:rFonts w:ascii="Arial" w:eastAsia="Times New Roman" w:hAnsi="Arial" w:cs="Arial"/>
        </w:rPr>
        <w:t xml:space="preserve">. Doncaster and Rotherham have been identified historically by the Yorkshire and Humber Regional Aggregate Working Party (YHRAWP) as the ‘South Yorkshire’ sub region, due to minerals being found within </w:t>
      </w:r>
      <w:r w:rsidR="004E2F28">
        <w:rPr>
          <w:rFonts w:ascii="Arial" w:eastAsia="Times New Roman" w:hAnsi="Arial" w:cs="Arial"/>
        </w:rPr>
        <w:t>both</w:t>
      </w:r>
      <w:r w:rsidR="002E4308" w:rsidRPr="008E18A9">
        <w:rPr>
          <w:rFonts w:ascii="Arial" w:eastAsia="Times New Roman" w:hAnsi="Arial" w:cs="Arial"/>
        </w:rPr>
        <w:t xml:space="preserve"> authority boundaries. The two Authorities have</w:t>
      </w:r>
      <w:r w:rsidR="002E4308">
        <w:rPr>
          <w:rFonts w:ascii="Arial" w:eastAsia="Times New Roman" w:hAnsi="Arial" w:cs="Arial"/>
        </w:rPr>
        <w:t xml:space="preserve"> also</w:t>
      </w:r>
      <w:r w:rsidR="002E4308" w:rsidRPr="008E18A9">
        <w:rPr>
          <w:rFonts w:ascii="Arial" w:eastAsia="Times New Roman" w:hAnsi="Arial" w:cs="Arial"/>
        </w:rPr>
        <w:t xml:space="preserve"> consistently worked together on mineral matters</w:t>
      </w:r>
      <w:r w:rsidR="002E4308">
        <w:rPr>
          <w:rFonts w:ascii="Arial" w:eastAsia="Times New Roman" w:hAnsi="Arial" w:cs="Arial"/>
        </w:rPr>
        <w:t>. Doncaster and Rotherham</w:t>
      </w:r>
      <w:r w:rsidR="002E4308" w:rsidRPr="008E18A9">
        <w:rPr>
          <w:rFonts w:ascii="Arial" w:eastAsia="Times New Roman" w:hAnsi="Arial" w:cs="Arial"/>
        </w:rPr>
        <w:t xml:space="preserve"> are also regular attendees and contributors to the YHRAWP </w:t>
      </w:r>
      <w:r w:rsidR="002E4308">
        <w:rPr>
          <w:rFonts w:ascii="Arial" w:eastAsia="Times New Roman" w:hAnsi="Arial" w:cs="Arial"/>
        </w:rPr>
        <w:t>including the development of</w:t>
      </w:r>
      <w:r w:rsidR="002E4308" w:rsidRPr="008E18A9">
        <w:rPr>
          <w:rFonts w:ascii="Arial" w:eastAsia="Times New Roman" w:hAnsi="Arial" w:cs="Arial"/>
        </w:rPr>
        <w:t xml:space="preserve"> annual monitoring reports</w:t>
      </w:r>
      <w:r w:rsidR="002E4308">
        <w:rPr>
          <w:rFonts w:ascii="Arial" w:eastAsia="Times New Roman" w:hAnsi="Arial" w:cs="Arial"/>
        </w:rPr>
        <w:t>.</w:t>
      </w:r>
    </w:p>
    <w:p w14:paraId="3CAD1FA3" w14:textId="2515E918" w:rsidR="002E4308" w:rsidRDefault="008E18A9" w:rsidP="00D73374">
      <w:pPr>
        <w:numPr>
          <w:ilvl w:val="0"/>
          <w:numId w:val="3"/>
        </w:numPr>
        <w:spacing w:before="240" w:after="200" w:line="276" w:lineRule="auto"/>
        <w:ind w:left="426"/>
        <w:rPr>
          <w:rFonts w:ascii="Arial" w:eastAsia="Times New Roman" w:hAnsi="Arial" w:cs="Arial"/>
        </w:rPr>
      </w:pPr>
      <w:r w:rsidRPr="008E18A9">
        <w:rPr>
          <w:rFonts w:ascii="Arial" w:eastAsia="Times New Roman" w:hAnsi="Arial" w:cs="Arial"/>
        </w:rPr>
        <w:t xml:space="preserve">The ‘Duty to Co-operate’ found in the Localism Act, has been reiterated in the National Planning Policy Framework and minerals planning authorities are required to cooperate with neighbouring authorities to co-ordinate for a planned approach to ensure adequate minerals provision. </w:t>
      </w:r>
      <w:r w:rsidR="006C5365">
        <w:rPr>
          <w:rFonts w:ascii="Arial" w:eastAsia="Times New Roman" w:hAnsi="Arial" w:cs="Arial"/>
        </w:rPr>
        <w:t>Doncaster’s Local Plan ‘Statement of Common Ground’</w:t>
      </w:r>
      <w:r w:rsidR="00124807">
        <w:rPr>
          <w:rFonts w:ascii="Arial" w:eastAsia="Times New Roman" w:hAnsi="Arial" w:cs="Arial"/>
        </w:rPr>
        <w:t xml:space="preserve"> covers a wide range of Local Plan matters including minerals and is required to provide information on the national con</w:t>
      </w:r>
      <w:r w:rsidR="002E4308">
        <w:rPr>
          <w:rFonts w:ascii="Arial" w:eastAsia="Times New Roman" w:hAnsi="Arial" w:cs="Arial"/>
        </w:rPr>
        <w:t>text of duty t</w:t>
      </w:r>
      <w:r w:rsidR="00936B2B">
        <w:rPr>
          <w:rFonts w:ascii="Arial" w:eastAsia="Times New Roman" w:hAnsi="Arial" w:cs="Arial"/>
        </w:rPr>
        <w:t>o cooperate, strategic matters and</w:t>
      </w:r>
      <w:r w:rsidR="002E4308">
        <w:rPr>
          <w:rFonts w:ascii="Arial" w:eastAsia="Times New Roman" w:hAnsi="Arial" w:cs="Arial"/>
        </w:rPr>
        <w:t xml:space="preserve"> priorities</w:t>
      </w:r>
      <w:r w:rsidR="00936B2B">
        <w:rPr>
          <w:rFonts w:ascii="Arial" w:eastAsia="Times New Roman" w:hAnsi="Arial" w:cs="Arial"/>
        </w:rPr>
        <w:t>,</w:t>
      </w:r>
      <w:r w:rsidR="002E4308">
        <w:rPr>
          <w:rFonts w:ascii="Arial" w:eastAsia="Times New Roman" w:hAnsi="Arial" w:cs="Arial"/>
        </w:rPr>
        <w:t xml:space="preserve"> potential impacts</w:t>
      </w:r>
      <w:r w:rsidR="00124807">
        <w:rPr>
          <w:rFonts w:ascii="Arial" w:eastAsia="Times New Roman" w:hAnsi="Arial" w:cs="Arial"/>
        </w:rPr>
        <w:t xml:space="preserve">, </w:t>
      </w:r>
      <w:r w:rsidR="00AF7462">
        <w:rPr>
          <w:rFonts w:ascii="Arial" w:eastAsia="Times New Roman" w:hAnsi="Arial" w:cs="Arial"/>
        </w:rPr>
        <w:t>organisations</w:t>
      </w:r>
      <w:r w:rsidR="00124807">
        <w:rPr>
          <w:rFonts w:ascii="Arial" w:eastAsia="Times New Roman" w:hAnsi="Arial" w:cs="Arial"/>
        </w:rPr>
        <w:t xml:space="preserve"> </w:t>
      </w:r>
      <w:r w:rsidR="002E4308">
        <w:rPr>
          <w:rFonts w:ascii="Arial" w:eastAsia="Times New Roman" w:hAnsi="Arial" w:cs="Arial"/>
        </w:rPr>
        <w:t>involved,</w:t>
      </w:r>
      <w:r w:rsidR="00124807">
        <w:rPr>
          <w:rFonts w:ascii="Arial" w:eastAsia="Times New Roman" w:hAnsi="Arial" w:cs="Arial"/>
        </w:rPr>
        <w:t xml:space="preserve"> s</w:t>
      </w:r>
      <w:r w:rsidR="002E4308">
        <w:rPr>
          <w:rFonts w:ascii="Arial" w:eastAsia="Times New Roman" w:hAnsi="Arial" w:cs="Arial"/>
        </w:rPr>
        <w:t>ignatories and strategic geography.</w:t>
      </w:r>
    </w:p>
    <w:p w14:paraId="58A37A9E" w14:textId="019FA9E4" w:rsidR="008E18A9" w:rsidRPr="008E18A9" w:rsidRDefault="00AF7462" w:rsidP="00D73374">
      <w:pPr>
        <w:numPr>
          <w:ilvl w:val="0"/>
          <w:numId w:val="3"/>
        </w:numPr>
        <w:spacing w:before="240" w:after="200" w:line="276" w:lineRule="auto"/>
        <w:ind w:left="426"/>
        <w:rPr>
          <w:rFonts w:ascii="Arial" w:eastAsia="Times New Roman" w:hAnsi="Arial" w:cs="Arial"/>
        </w:rPr>
      </w:pPr>
      <w:r>
        <w:rPr>
          <w:rFonts w:ascii="Arial" w:eastAsia="Times New Roman" w:hAnsi="Arial" w:cs="Arial"/>
        </w:rPr>
        <w:t xml:space="preserve">Doncaster’s </w:t>
      </w:r>
      <w:r w:rsidR="00770D71">
        <w:rPr>
          <w:rFonts w:ascii="Arial" w:eastAsia="Times New Roman" w:hAnsi="Arial" w:cs="Arial"/>
        </w:rPr>
        <w:t>Statement of Common G</w:t>
      </w:r>
      <w:r w:rsidR="004E20D9">
        <w:rPr>
          <w:rFonts w:ascii="Arial" w:eastAsia="Times New Roman" w:hAnsi="Arial" w:cs="Arial"/>
        </w:rPr>
        <w:t xml:space="preserve">round </w:t>
      </w:r>
      <w:r w:rsidR="00A125FC">
        <w:rPr>
          <w:rFonts w:ascii="Arial" w:eastAsia="Times New Roman" w:hAnsi="Arial" w:cs="Arial"/>
        </w:rPr>
        <w:t>and Rotherham’s ‘Core Strategy: Statement of Co</w:t>
      </w:r>
      <w:r w:rsidR="001314BE">
        <w:rPr>
          <w:rFonts w:ascii="Arial" w:eastAsia="Times New Roman" w:hAnsi="Arial" w:cs="Arial"/>
        </w:rPr>
        <w:t>-</w:t>
      </w:r>
      <w:r w:rsidR="00A125FC">
        <w:rPr>
          <w:rFonts w:ascii="Arial" w:eastAsia="Times New Roman" w:hAnsi="Arial" w:cs="Arial"/>
        </w:rPr>
        <w:t xml:space="preserve">operation’ </w:t>
      </w:r>
      <w:r>
        <w:rPr>
          <w:rFonts w:ascii="Arial" w:eastAsia="Times New Roman" w:hAnsi="Arial" w:cs="Arial"/>
        </w:rPr>
        <w:t>seek</w:t>
      </w:r>
      <w:r w:rsidR="004E20D9">
        <w:rPr>
          <w:rFonts w:ascii="Arial" w:eastAsia="Times New Roman" w:hAnsi="Arial" w:cs="Arial"/>
        </w:rPr>
        <w:t>s</w:t>
      </w:r>
      <w:r>
        <w:rPr>
          <w:rFonts w:ascii="Arial" w:eastAsia="Times New Roman" w:hAnsi="Arial" w:cs="Arial"/>
        </w:rPr>
        <w:t xml:space="preserve"> to address the sustainable use of minerals, recognise the need for monitoring information to determine aggregate need, concerns in relation to resource </w:t>
      </w:r>
      <w:r>
        <w:rPr>
          <w:rFonts w:ascii="Arial" w:eastAsia="Times New Roman" w:hAnsi="Arial" w:cs="Arial"/>
        </w:rPr>
        <w:lastRenderedPageBreak/>
        <w:t>depletion (</w:t>
      </w:r>
      <w:r w:rsidR="00D475B1">
        <w:rPr>
          <w:rFonts w:ascii="Arial" w:eastAsia="Times New Roman" w:hAnsi="Arial" w:cs="Arial"/>
        </w:rPr>
        <w:t xml:space="preserve">specifically sharp sand and gravel / </w:t>
      </w:r>
      <w:r>
        <w:rPr>
          <w:rFonts w:ascii="Arial" w:eastAsia="Times New Roman" w:hAnsi="Arial" w:cs="Arial"/>
        </w:rPr>
        <w:t xml:space="preserve">concreting aggregate), </w:t>
      </w:r>
      <w:r w:rsidR="00936686">
        <w:rPr>
          <w:rFonts w:ascii="Arial" w:eastAsia="Times New Roman" w:hAnsi="Arial" w:cs="Arial"/>
        </w:rPr>
        <w:t>sharing</w:t>
      </w:r>
      <w:r w:rsidR="00770D71">
        <w:rPr>
          <w:rFonts w:ascii="Arial" w:eastAsia="Times New Roman" w:hAnsi="Arial" w:cs="Arial"/>
        </w:rPr>
        <w:t xml:space="preserve"> advice, monitoring information and cooperating on the development of local plan policies and evidence base.</w:t>
      </w:r>
      <w:r w:rsidR="00936686">
        <w:rPr>
          <w:rFonts w:ascii="Arial" w:eastAsia="Times New Roman" w:hAnsi="Arial" w:cs="Arial"/>
        </w:rPr>
        <w:t xml:space="preserve"> </w:t>
      </w:r>
      <w:r>
        <w:rPr>
          <w:rFonts w:ascii="Arial" w:eastAsia="Times New Roman" w:hAnsi="Arial" w:cs="Arial"/>
        </w:rPr>
        <w:t xml:space="preserve"> </w:t>
      </w:r>
      <w:r w:rsidR="008E797A">
        <w:rPr>
          <w:rFonts w:ascii="Arial" w:eastAsia="Times New Roman" w:hAnsi="Arial" w:cs="Arial"/>
        </w:rPr>
        <w:t xml:space="preserve">The </w:t>
      </w:r>
      <w:hyperlink r:id="rId16" w:history="1">
        <w:r w:rsidR="008E797A" w:rsidRPr="003B60EE">
          <w:rPr>
            <w:rStyle w:val="Hyperlink"/>
            <w:rFonts w:ascii="Arial" w:eastAsia="Times New Roman" w:hAnsi="Arial" w:cs="Arial"/>
          </w:rPr>
          <w:t>Joint Regional Statement of Common Ground</w:t>
        </w:r>
      </w:hyperlink>
      <w:r w:rsidR="008E797A">
        <w:rPr>
          <w:rFonts w:ascii="Arial" w:eastAsia="Times New Roman" w:hAnsi="Arial" w:cs="Arial"/>
        </w:rPr>
        <w:t xml:space="preserve"> acknowledges</w:t>
      </w:r>
      <w:r w:rsidR="00D54ADC">
        <w:rPr>
          <w:rFonts w:ascii="Arial" w:eastAsia="Times New Roman" w:hAnsi="Arial" w:cs="Arial"/>
        </w:rPr>
        <w:t xml:space="preserve"> </w:t>
      </w:r>
      <w:r w:rsidR="004E7DFD">
        <w:rPr>
          <w:rFonts w:ascii="Arial" w:eastAsia="Times New Roman" w:hAnsi="Arial" w:cs="Arial"/>
        </w:rPr>
        <w:t xml:space="preserve"> </w:t>
      </w:r>
      <w:r w:rsidR="007D61D5">
        <w:rPr>
          <w:rFonts w:ascii="Arial" w:eastAsia="Times New Roman" w:hAnsi="Arial" w:cs="Arial"/>
        </w:rPr>
        <w:t>M</w:t>
      </w:r>
      <w:r w:rsidR="00D54ADC" w:rsidRPr="00D54ADC">
        <w:rPr>
          <w:rFonts w:ascii="Arial" w:eastAsia="Times New Roman" w:hAnsi="Arial" w:cs="Arial"/>
        </w:rPr>
        <w:t>inerals</w:t>
      </w:r>
      <w:r w:rsidR="007D61D5">
        <w:rPr>
          <w:rFonts w:ascii="Arial" w:eastAsia="Times New Roman" w:hAnsi="Arial" w:cs="Arial"/>
        </w:rPr>
        <w:t xml:space="preserve"> </w:t>
      </w:r>
      <w:r w:rsidR="00D54ADC" w:rsidRPr="00D54ADC">
        <w:rPr>
          <w:rFonts w:ascii="Arial" w:eastAsia="Times New Roman" w:hAnsi="Arial" w:cs="Arial"/>
        </w:rPr>
        <w:t xml:space="preserve">Planning Authorities in the Region </w:t>
      </w:r>
      <w:r w:rsidR="00115C88" w:rsidRPr="00D54ADC">
        <w:rPr>
          <w:rFonts w:ascii="Arial" w:eastAsia="Times New Roman" w:hAnsi="Arial" w:cs="Arial"/>
        </w:rPr>
        <w:t xml:space="preserve">work closely together </w:t>
      </w:r>
      <w:r w:rsidR="00B077FA">
        <w:rPr>
          <w:rFonts w:ascii="Arial" w:eastAsia="Times New Roman" w:hAnsi="Arial" w:cs="Arial"/>
        </w:rPr>
        <w:t>on minerals matters.</w:t>
      </w:r>
      <w:r w:rsidR="009A2207">
        <w:rPr>
          <w:rFonts w:ascii="Arial" w:eastAsia="Times New Roman" w:hAnsi="Arial" w:cs="Arial"/>
        </w:rPr>
        <w:t xml:space="preserve"> </w:t>
      </w:r>
    </w:p>
    <w:p w14:paraId="12A3E767" w14:textId="5B144311" w:rsidR="00FE5ABE" w:rsidRPr="00506DC3" w:rsidRDefault="008E18A9" w:rsidP="00D73374">
      <w:pPr>
        <w:numPr>
          <w:ilvl w:val="0"/>
          <w:numId w:val="3"/>
        </w:numPr>
        <w:spacing w:before="240" w:after="200" w:line="276" w:lineRule="auto"/>
        <w:ind w:left="426"/>
        <w:rPr>
          <w:rFonts w:ascii="Arial" w:eastAsia="Times New Roman" w:hAnsi="Arial" w:cs="Arial"/>
          <w:i/>
        </w:rPr>
      </w:pPr>
      <w:r w:rsidRPr="008E18A9">
        <w:rPr>
          <w:rFonts w:ascii="Arial" w:eastAsia="Times New Roman" w:hAnsi="Arial" w:cs="Arial"/>
        </w:rPr>
        <w:t>Doncaster and Rotherham’s mineral resources include limestone for aggregate, building sto</w:t>
      </w:r>
      <w:r w:rsidR="006C5365">
        <w:rPr>
          <w:rFonts w:ascii="Arial" w:eastAsia="Times New Roman" w:hAnsi="Arial" w:cs="Arial"/>
        </w:rPr>
        <w:t>ne and industrial limestone</w:t>
      </w:r>
      <w:r w:rsidR="004E20D9">
        <w:rPr>
          <w:rFonts w:ascii="Arial" w:eastAsia="Times New Roman" w:hAnsi="Arial" w:cs="Arial"/>
        </w:rPr>
        <w:t xml:space="preserve">. Sand and gravel </w:t>
      </w:r>
      <w:proofErr w:type="gramStart"/>
      <w:r w:rsidRPr="008E18A9">
        <w:rPr>
          <w:rFonts w:ascii="Arial" w:eastAsia="Times New Roman" w:hAnsi="Arial" w:cs="Arial"/>
        </w:rPr>
        <w:t>is</w:t>
      </w:r>
      <w:proofErr w:type="gramEnd"/>
      <w:r w:rsidRPr="008E18A9">
        <w:rPr>
          <w:rFonts w:ascii="Arial" w:eastAsia="Times New Roman" w:hAnsi="Arial" w:cs="Arial"/>
        </w:rPr>
        <w:t xml:space="preserve"> sourced in Doncaster. </w:t>
      </w:r>
      <w:r w:rsidRPr="0076112B">
        <w:rPr>
          <w:rFonts w:ascii="Arial" w:eastAsia="Times New Roman" w:hAnsi="Arial" w:cs="Arial"/>
        </w:rPr>
        <w:t xml:space="preserve">For </w:t>
      </w:r>
      <w:r w:rsidR="002670C1" w:rsidRPr="0076112B">
        <w:rPr>
          <w:rFonts w:ascii="Arial" w:eastAsia="Times New Roman" w:hAnsi="Arial" w:cs="Arial"/>
        </w:rPr>
        <w:t>a more complete overview</w:t>
      </w:r>
      <w:r w:rsidRPr="0076112B">
        <w:rPr>
          <w:rFonts w:ascii="Arial" w:eastAsia="Times New Roman" w:hAnsi="Arial" w:cs="Arial"/>
        </w:rPr>
        <w:t xml:space="preserve"> on mineral resources</w:t>
      </w:r>
      <w:r w:rsidR="002670C1" w:rsidRPr="0076112B">
        <w:rPr>
          <w:rFonts w:ascii="Arial" w:eastAsia="Times New Roman" w:hAnsi="Arial" w:cs="Arial"/>
        </w:rPr>
        <w:t xml:space="preserve"> in Doncaster</w:t>
      </w:r>
      <w:r w:rsidRPr="0076112B">
        <w:rPr>
          <w:rFonts w:ascii="Arial" w:eastAsia="Times New Roman" w:hAnsi="Arial" w:cs="Arial"/>
        </w:rPr>
        <w:t xml:space="preserve">, please refer to the </w:t>
      </w:r>
      <w:hyperlink r:id="rId17" w:history="1">
        <w:r w:rsidRPr="0076112B">
          <w:rPr>
            <w:rStyle w:val="Hyperlink"/>
            <w:rFonts w:ascii="Arial" w:eastAsia="Times New Roman" w:hAnsi="Arial" w:cs="Arial"/>
          </w:rPr>
          <w:t>2016 L</w:t>
        </w:r>
        <w:r w:rsidR="0076112B" w:rsidRPr="0076112B">
          <w:rPr>
            <w:rStyle w:val="Hyperlink"/>
            <w:rFonts w:ascii="Arial" w:eastAsia="Times New Roman" w:hAnsi="Arial" w:cs="Arial"/>
          </w:rPr>
          <w:t xml:space="preserve">ocal </w:t>
        </w:r>
        <w:r w:rsidRPr="0076112B">
          <w:rPr>
            <w:rStyle w:val="Hyperlink"/>
            <w:rFonts w:ascii="Arial" w:eastAsia="Times New Roman" w:hAnsi="Arial" w:cs="Arial"/>
          </w:rPr>
          <w:t>A</w:t>
        </w:r>
        <w:r w:rsidR="0076112B" w:rsidRPr="0076112B">
          <w:rPr>
            <w:rStyle w:val="Hyperlink"/>
            <w:rFonts w:ascii="Arial" w:eastAsia="Times New Roman" w:hAnsi="Arial" w:cs="Arial"/>
          </w:rPr>
          <w:t xml:space="preserve">ggregates </w:t>
        </w:r>
        <w:r w:rsidRPr="0076112B">
          <w:rPr>
            <w:rStyle w:val="Hyperlink"/>
            <w:rFonts w:ascii="Arial" w:eastAsia="Times New Roman" w:hAnsi="Arial" w:cs="Arial"/>
          </w:rPr>
          <w:t>A</w:t>
        </w:r>
      </w:hyperlink>
      <w:r w:rsidR="0076112B" w:rsidRPr="0076112B">
        <w:rPr>
          <w:rStyle w:val="Hyperlink"/>
          <w:rFonts w:ascii="Arial" w:eastAsia="Times New Roman" w:hAnsi="Arial" w:cs="Arial"/>
        </w:rPr>
        <w:t>ssessment</w:t>
      </w:r>
      <w:r w:rsidRPr="0076112B">
        <w:rPr>
          <w:rFonts w:ascii="Arial" w:eastAsia="Times New Roman" w:hAnsi="Arial" w:cs="Arial"/>
        </w:rPr>
        <w:t>.</w:t>
      </w:r>
    </w:p>
    <w:p w14:paraId="34F11264" w14:textId="77777777" w:rsidR="00CA1148" w:rsidRPr="00DC2F4C" w:rsidRDefault="00CA1148" w:rsidP="00D73374">
      <w:pPr>
        <w:pStyle w:val="Sub-heading"/>
        <w:spacing w:before="240" w:after="240" w:line="276" w:lineRule="auto"/>
        <w:jc w:val="left"/>
        <w:outlineLvl w:val="1"/>
        <w:rPr>
          <w:color w:val="auto"/>
          <w:sz w:val="24"/>
          <w:szCs w:val="24"/>
        </w:rPr>
      </w:pPr>
      <w:bookmarkStart w:id="2" w:name="_Toc198549794"/>
      <w:r w:rsidRPr="00DC2F4C">
        <w:rPr>
          <w:color w:val="auto"/>
          <w:sz w:val="24"/>
          <w:szCs w:val="24"/>
        </w:rPr>
        <w:t>The 2019 Aggregates Miner</w:t>
      </w:r>
      <w:r w:rsidR="006277C1">
        <w:rPr>
          <w:color w:val="auto"/>
          <w:sz w:val="24"/>
          <w:szCs w:val="24"/>
        </w:rPr>
        <w:t>al Survey for England and Wales (published August 2021)</w:t>
      </w:r>
      <w:bookmarkEnd w:id="2"/>
      <w:r w:rsidRPr="00DC2F4C">
        <w:rPr>
          <w:color w:val="auto"/>
          <w:sz w:val="24"/>
          <w:szCs w:val="24"/>
        </w:rPr>
        <w:t xml:space="preserve"> </w:t>
      </w:r>
    </w:p>
    <w:p w14:paraId="1F5B541B" w14:textId="0E2C1BDE" w:rsidR="00CA1148" w:rsidRPr="006277C1" w:rsidRDefault="00CA1148" w:rsidP="00D73374">
      <w:pPr>
        <w:numPr>
          <w:ilvl w:val="0"/>
          <w:numId w:val="3"/>
        </w:numPr>
        <w:spacing w:before="240" w:after="200" w:line="276" w:lineRule="auto"/>
        <w:ind w:left="426"/>
        <w:rPr>
          <w:rFonts w:ascii="Arial" w:eastAsia="Times New Roman" w:hAnsi="Arial" w:cs="Arial"/>
        </w:rPr>
      </w:pPr>
      <w:r w:rsidRPr="006277C1">
        <w:rPr>
          <w:rFonts w:ascii="Arial" w:eastAsia="Times New Roman" w:hAnsi="Arial" w:cs="Arial"/>
        </w:rPr>
        <w:t xml:space="preserve">The 2019 </w:t>
      </w:r>
      <w:hyperlink r:id="rId18" w:history="1">
        <w:r w:rsidRPr="00506DC3">
          <w:rPr>
            <w:rStyle w:val="Hyperlink"/>
            <w:rFonts w:ascii="Arial" w:eastAsia="Times New Roman" w:hAnsi="Arial" w:cs="Arial"/>
          </w:rPr>
          <w:t>Aggregate Minerals Survey for England and Wales</w:t>
        </w:r>
      </w:hyperlink>
      <w:r w:rsidRPr="006277C1">
        <w:rPr>
          <w:rFonts w:ascii="Arial" w:eastAsia="Times New Roman" w:hAnsi="Arial" w:cs="Arial"/>
        </w:rPr>
        <w:t xml:space="preserve"> (AMS) was carried out </w:t>
      </w:r>
      <w:r w:rsidR="00D475B1">
        <w:rPr>
          <w:rFonts w:ascii="Arial" w:eastAsia="Times New Roman" w:hAnsi="Arial" w:cs="Arial"/>
        </w:rPr>
        <w:t xml:space="preserve">in 2020 during the pandemic and </w:t>
      </w:r>
      <w:r w:rsidRPr="006277C1">
        <w:rPr>
          <w:rFonts w:ascii="Arial" w:eastAsia="Times New Roman" w:hAnsi="Arial" w:cs="Arial"/>
        </w:rPr>
        <w:t>was reliant on mineral operato</w:t>
      </w:r>
      <w:r w:rsidR="00F67350">
        <w:rPr>
          <w:rFonts w:ascii="Arial" w:eastAsia="Times New Roman" w:hAnsi="Arial" w:cs="Arial"/>
        </w:rPr>
        <w:t xml:space="preserve">rs providing returns on line </w:t>
      </w:r>
      <w:r w:rsidRPr="006277C1">
        <w:rPr>
          <w:rFonts w:ascii="Arial" w:eastAsia="Times New Roman" w:hAnsi="Arial" w:cs="Arial"/>
        </w:rPr>
        <w:t>during a very tight timeframe</w:t>
      </w:r>
      <w:r w:rsidR="006277C1">
        <w:rPr>
          <w:rFonts w:ascii="Arial" w:eastAsia="Times New Roman" w:hAnsi="Arial" w:cs="Arial"/>
        </w:rPr>
        <w:t xml:space="preserve"> in very unusual circumstances</w:t>
      </w:r>
      <w:r w:rsidRPr="006277C1">
        <w:rPr>
          <w:rFonts w:ascii="Arial" w:eastAsia="Times New Roman" w:hAnsi="Arial" w:cs="Arial"/>
        </w:rPr>
        <w:t>. Don</w:t>
      </w:r>
      <w:r w:rsidR="00506DC3">
        <w:rPr>
          <w:rFonts w:ascii="Arial" w:eastAsia="Times New Roman" w:hAnsi="Arial" w:cs="Arial"/>
        </w:rPr>
        <w:t xml:space="preserve">caster Council is of the opinion </w:t>
      </w:r>
      <w:r w:rsidRPr="006277C1">
        <w:rPr>
          <w:rFonts w:ascii="Arial" w:eastAsia="Times New Roman" w:hAnsi="Arial" w:cs="Arial"/>
        </w:rPr>
        <w:t xml:space="preserve">that the </w:t>
      </w:r>
      <w:r w:rsidR="00D475B1">
        <w:rPr>
          <w:rFonts w:ascii="Arial" w:eastAsia="Times New Roman" w:hAnsi="Arial" w:cs="Arial"/>
        </w:rPr>
        <w:t xml:space="preserve">South Yorkshire </w:t>
      </w:r>
      <w:r w:rsidRPr="006277C1">
        <w:rPr>
          <w:rFonts w:ascii="Arial" w:eastAsia="Times New Roman" w:hAnsi="Arial" w:cs="Arial"/>
        </w:rPr>
        <w:t xml:space="preserve">monitoring data is not accurately represented for the year 2019. </w:t>
      </w:r>
      <w:r w:rsidR="00506DC3">
        <w:rPr>
          <w:rFonts w:ascii="Arial" w:eastAsia="Times New Roman" w:hAnsi="Arial" w:cs="Arial"/>
        </w:rPr>
        <w:t xml:space="preserve">AMS </w:t>
      </w:r>
      <w:r w:rsidRPr="006277C1">
        <w:rPr>
          <w:rFonts w:ascii="Arial" w:eastAsia="Times New Roman" w:hAnsi="Arial" w:cs="Arial"/>
        </w:rPr>
        <w:t xml:space="preserve">Table 9h </w:t>
      </w:r>
      <w:r w:rsidR="00506DC3">
        <w:rPr>
          <w:rFonts w:ascii="Arial" w:eastAsia="Times New Roman" w:hAnsi="Arial" w:cs="Arial"/>
        </w:rPr>
        <w:t>(</w:t>
      </w:r>
      <w:r w:rsidRPr="006277C1">
        <w:rPr>
          <w:rFonts w:ascii="Arial" w:eastAsia="Times New Roman" w:hAnsi="Arial" w:cs="Arial"/>
        </w:rPr>
        <w:t>sales of primary aggregate by MPA</w:t>
      </w:r>
      <w:r w:rsidR="00506DC3">
        <w:rPr>
          <w:rFonts w:ascii="Arial" w:eastAsia="Times New Roman" w:hAnsi="Arial" w:cs="Arial"/>
        </w:rPr>
        <w:t>)</w:t>
      </w:r>
      <w:r w:rsidRPr="006277C1">
        <w:rPr>
          <w:rFonts w:ascii="Arial" w:eastAsia="Times New Roman" w:hAnsi="Arial" w:cs="Arial"/>
        </w:rPr>
        <w:t xml:space="preserve"> </w:t>
      </w:r>
      <w:r w:rsidR="00D2027C">
        <w:rPr>
          <w:rFonts w:ascii="Arial" w:eastAsia="Times New Roman" w:hAnsi="Arial" w:cs="Arial"/>
        </w:rPr>
        <w:t>identifies South Yorkshire (Doncaster Council) l</w:t>
      </w:r>
      <w:r w:rsidRPr="006277C1">
        <w:rPr>
          <w:rFonts w:ascii="Arial" w:eastAsia="Times New Roman" w:hAnsi="Arial" w:cs="Arial"/>
        </w:rPr>
        <w:t>and won sand and gravel at 0.0</w:t>
      </w:r>
      <w:r w:rsidR="00541248">
        <w:rPr>
          <w:rFonts w:ascii="Arial" w:eastAsia="Times New Roman" w:hAnsi="Arial" w:cs="Arial"/>
        </w:rPr>
        <w:t>4</w:t>
      </w:r>
      <w:r w:rsidRPr="006277C1">
        <w:rPr>
          <w:rFonts w:ascii="Arial" w:eastAsia="Times New Roman" w:hAnsi="Arial" w:cs="Arial"/>
        </w:rPr>
        <w:t xml:space="preserve">Mt and 1.8Mt for crushed rock. Table 10 </w:t>
      </w:r>
      <w:r w:rsidR="00506DC3">
        <w:rPr>
          <w:rFonts w:ascii="Arial" w:eastAsia="Times New Roman" w:hAnsi="Arial" w:cs="Arial"/>
        </w:rPr>
        <w:t>(</w:t>
      </w:r>
      <w:r w:rsidRPr="006277C1">
        <w:rPr>
          <w:rFonts w:ascii="Arial" w:eastAsia="Times New Roman" w:hAnsi="Arial" w:cs="Arial"/>
        </w:rPr>
        <w:t>Imports of primary aggregates by sub-region</w:t>
      </w:r>
      <w:r w:rsidR="00506DC3">
        <w:rPr>
          <w:rFonts w:ascii="Arial" w:eastAsia="Times New Roman" w:hAnsi="Arial" w:cs="Arial"/>
        </w:rPr>
        <w:t>)</w:t>
      </w:r>
      <w:r w:rsidRPr="006277C1">
        <w:rPr>
          <w:rFonts w:ascii="Arial" w:eastAsia="Times New Roman" w:hAnsi="Arial" w:cs="Arial"/>
        </w:rPr>
        <w:t xml:space="preserve"> in 2019 identifies </w:t>
      </w:r>
      <w:r w:rsidR="006277C1" w:rsidRPr="006277C1">
        <w:rPr>
          <w:rFonts w:ascii="Arial" w:eastAsia="Times New Roman" w:hAnsi="Arial" w:cs="Arial"/>
        </w:rPr>
        <w:t xml:space="preserve">imports of sand and gravel at 0.4Mt and crushed rock at 1.1Mt. </w:t>
      </w:r>
      <w:r w:rsidR="00D2027C">
        <w:rPr>
          <w:rFonts w:ascii="Arial" w:eastAsia="Times New Roman" w:hAnsi="Arial" w:cs="Arial"/>
        </w:rPr>
        <w:t xml:space="preserve">AMS </w:t>
      </w:r>
      <w:r w:rsidR="006277C1" w:rsidRPr="006277C1">
        <w:rPr>
          <w:rFonts w:ascii="Arial" w:eastAsia="Times New Roman" w:hAnsi="Arial" w:cs="Arial"/>
        </w:rPr>
        <w:t xml:space="preserve">Table 11 </w:t>
      </w:r>
      <w:r w:rsidR="00506DC3">
        <w:rPr>
          <w:rFonts w:ascii="Arial" w:eastAsia="Times New Roman" w:hAnsi="Arial" w:cs="Arial"/>
        </w:rPr>
        <w:t>(</w:t>
      </w:r>
      <w:r w:rsidR="006277C1" w:rsidRPr="006277C1">
        <w:rPr>
          <w:rFonts w:ascii="Arial" w:eastAsia="Times New Roman" w:hAnsi="Arial" w:cs="Arial"/>
        </w:rPr>
        <w:t>Consumption of primary aggregates by sub-region</w:t>
      </w:r>
      <w:r w:rsidR="00506DC3">
        <w:rPr>
          <w:rFonts w:ascii="Arial" w:eastAsia="Times New Roman" w:hAnsi="Arial" w:cs="Arial"/>
        </w:rPr>
        <w:t>)</w:t>
      </w:r>
      <w:r w:rsidR="006277C1" w:rsidRPr="006277C1">
        <w:rPr>
          <w:rFonts w:ascii="Arial" w:eastAsia="Times New Roman" w:hAnsi="Arial" w:cs="Arial"/>
        </w:rPr>
        <w:t xml:space="preserve"> in 2019</w:t>
      </w:r>
      <w:r w:rsidR="006277C1">
        <w:rPr>
          <w:rFonts w:ascii="Arial" w:eastAsia="Times New Roman" w:hAnsi="Arial" w:cs="Arial"/>
        </w:rPr>
        <w:t xml:space="preserve"> identifies 0.45Mt of sand and gravel and 2.9Mt of crushed rock consumption for South Yorkshire. </w:t>
      </w:r>
      <w:r w:rsidR="00B93E34">
        <w:rPr>
          <w:rFonts w:ascii="Arial" w:eastAsia="Times New Roman" w:hAnsi="Arial" w:cs="Arial"/>
        </w:rPr>
        <w:t xml:space="preserve">Data from the 2024 </w:t>
      </w:r>
      <w:r w:rsidR="00D8094A">
        <w:rPr>
          <w:rFonts w:ascii="Arial" w:eastAsia="Times New Roman" w:hAnsi="Arial" w:cs="Arial"/>
        </w:rPr>
        <w:t>Aggregate Mineral Survey should be available</w:t>
      </w:r>
      <w:r w:rsidR="00020CD9">
        <w:rPr>
          <w:rFonts w:ascii="Arial" w:eastAsia="Times New Roman" w:hAnsi="Arial" w:cs="Arial"/>
        </w:rPr>
        <w:t xml:space="preserve"> early</w:t>
      </w:r>
      <w:r w:rsidR="00D8094A">
        <w:rPr>
          <w:rFonts w:ascii="Arial" w:eastAsia="Times New Roman" w:hAnsi="Arial" w:cs="Arial"/>
        </w:rPr>
        <w:t xml:space="preserve"> 2025</w:t>
      </w:r>
      <w:r w:rsidR="003D1C54">
        <w:rPr>
          <w:rFonts w:ascii="Arial" w:eastAsia="Times New Roman" w:hAnsi="Arial" w:cs="Arial"/>
        </w:rPr>
        <w:t xml:space="preserve"> and will be </w:t>
      </w:r>
      <w:r w:rsidR="0060727E">
        <w:rPr>
          <w:rFonts w:ascii="Arial" w:eastAsia="Times New Roman" w:hAnsi="Arial" w:cs="Arial"/>
        </w:rPr>
        <w:t>summarised in the next Doncaster and Rotherham LAA.</w:t>
      </w:r>
    </w:p>
    <w:p w14:paraId="0DB6581E" w14:textId="0BB2A2EC" w:rsidR="008E18A9" w:rsidRDefault="000A6367" w:rsidP="00D73374">
      <w:pPr>
        <w:pStyle w:val="Heading1"/>
        <w:spacing w:before="0" w:after="240"/>
        <w:rPr>
          <w:rFonts w:ascii="Arial" w:eastAsia="Times New Roman" w:hAnsi="Arial" w:cs="Arial"/>
        </w:rPr>
      </w:pPr>
      <w:bookmarkStart w:id="3" w:name="_Toc198549795"/>
      <w:r w:rsidRPr="006D0F66">
        <w:rPr>
          <w:rFonts w:ascii="Arial" w:eastAsia="Times New Roman" w:hAnsi="Arial" w:cs="Arial"/>
          <w:color w:val="auto"/>
          <w:sz w:val="26"/>
          <w:szCs w:val="26"/>
        </w:rPr>
        <w:t>202</w:t>
      </w:r>
      <w:r w:rsidR="0033662E" w:rsidRPr="006D0F66">
        <w:rPr>
          <w:rFonts w:ascii="Arial" w:eastAsia="Times New Roman" w:hAnsi="Arial" w:cs="Arial"/>
          <w:color w:val="auto"/>
          <w:sz w:val="26"/>
          <w:szCs w:val="26"/>
        </w:rPr>
        <w:t>3</w:t>
      </w:r>
      <w:r w:rsidR="00FE5ABE" w:rsidRPr="006D0F66">
        <w:rPr>
          <w:rFonts w:ascii="Arial" w:eastAsia="Times New Roman" w:hAnsi="Arial" w:cs="Arial"/>
          <w:color w:val="auto"/>
          <w:sz w:val="26"/>
          <w:szCs w:val="26"/>
        </w:rPr>
        <w:t xml:space="preserve"> Monitoring Information</w:t>
      </w:r>
      <w:r w:rsidR="0052354E" w:rsidRPr="006D0F66">
        <w:rPr>
          <w:rFonts w:ascii="Arial" w:eastAsia="Times New Roman" w:hAnsi="Arial" w:cs="Arial"/>
          <w:color w:val="auto"/>
          <w:sz w:val="26"/>
          <w:szCs w:val="26"/>
        </w:rPr>
        <w:t xml:space="preserve"> Doncaster and Rotherham Mineral Planning</w:t>
      </w:r>
      <w:r w:rsidR="0052354E">
        <w:rPr>
          <w:rFonts w:ascii="Arial" w:eastAsia="Times New Roman" w:hAnsi="Arial" w:cs="Arial"/>
          <w:color w:val="auto"/>
          <w:sz w:val="26"/>
          <w:szCs w:val="26"/>
        </w:rPr>
        <w:t xml:space="preserve"> Authorities</w:t>
      </w:r>
      <w:bookmarkEnd w:id="3"/>
    </w:p>
    <w:p w14:paraId="275F353E" w14:textId="567BA904" w:rsidR="0052354E" w:rsidRDefault="0052354E" w:rsidP="00D73374">
      <w:pPr>
        <w:numPr>
          <w:ilvl w:val="0"/>
          <w:numId w:val="3"/>
        </w:numPr>
        <w:spacing w:before="240" w:after="200" w:line="276" w:lineRule="auto"/>
        <w:ind w:left="426"/>
        <w:rPr>
          <w:rFonts w:ascii="Arial" w:eastAsia="Times New Roman" w:hAnsi="Arial" w:cs="Arial"/>
        </w:rPr>
      </w:pPr>
      <w:r>
        <w:rPr>
          <w:rFonts w:ascii="Arial" w:eastAsia="Times New Roman" w:hAnsi="Arial" w:cs="Arial"/>
        </w:rPr>
        <w:t xml:space="preserve">This </w:t>
      </w:r>
      <w:r w:rsidRPr="00131EAB">
        <w:rPr>
          <w:rFonts w:ascii="Arial" w:eastAsia="Times New Roman" w:hAnsi="Arial" w:cs="Arial"/>
        </w:rPr>
        <w:t xml:space="preserve">section </w:t>
      </w:r>
      <w:r w:rsidR="00E43654">
        <w:rPr>
          <w:rFonts w:ascii="Arial" w:eastAsia="Times New Roman" w:hAnsi="Arial" w:cs="Arial"/>
        </w:rPr>
        <w:t xml:space="preserve">of the report </w:t>
      </w:r>
      <w:r w:rsidRPr="00131EAB">
        <w:rPr>
          <w:rFonts w:ascii="Arial" w:eastAsia="Times New Roman" w:hAnsi="Arial" w:cs="Arial"/>
        </w:rPr>
        <w:t>provides an overview of existing extraction operations</w:t>
      </w:r>
      <w:r w:rsidR="00E43654">
        <w:rPr>
          <w:rFonts w:ascii="Arial" w:eastAsia="Times New Roman" w:hAnsi="Arial" w:cs="Arial"/>
        </w:rPr>
        <w:t>,</w:t>
      </w:r>
      <w:r w:rsidR="00E43654" w:rsidRPr="00E43654">
        <w:rPr>
          <w:rFonts w:ascii="Arial" w:eastAsia="Times New Roman" w:hAnsi="Arial" w:cs="Arial"/>
        </w:rPr>
        <w:t xml:space="preserve"> </w:t>
      </w:r>
      <w:r w:rsidR="00E43654" w:rsidRPr="00131EAB">
        <w:rPr>
          <w:rFonts w:ascii="Arial" w:eastAsia="Times New Roman" w:hAnsi="Arial" w:cs="Arial"/>
        </w:rPr>
        <w:t>aggregate sales</w:t>
      </w:r>
      <w:r w:rsidRPr="00131EAB">
        <w:rPr>
          <w:rFonts w:ascii="Arial" w:eastAsia="Times New Roman" w:hAnsi="Arial" w:cs="Arial"/>
        </w:rPr>
        <w:t>, reserves and landbanks</w:t>
      </w:r>
      <w:r w:rsidR="00506DC3">
        <w:rPr>
          <w:rFonts w:ascii="Arial" w:eastAsia="Times New Roman" w:hAnsi="Arial" w:cs="Arial"/>
        </w:rPr>
        <w:t xml:space="preserve"> for monitoring ye</w:t>
      </w:r>
      <w:r w:rsidR="00111A52">
        <w:rPr>
          <w:rFonts w:ascii="Arial" w:eastAsia="Times New Roman" w:hAnsi="Arial" w:cs="Arial"/>
        </w:rPr>
        <w:t xml:space="preserve">ar </w:t>
      </w:r>
      <w:r w:rsidR="000A6367">
        <w:rPr>
          <w:rFonts w:ascii="Arial" w:eastAsia="Times New Roman" w:hAnsi="Arial" w:cs="Arial"/>
        </w:rPr>
        <w:t>202</w:t>
      </w:r>
      <w:r w:rsidR="00106019">
        <w:rPr>
          <w:rFonts w:ascii="Arial" w:eastAsia="Times New Roman" w:hAnsi="Arial" w:cs="Arial"/>
        </w:rPr>
        <w:t>3</w:t>
      </w:r>
      <w:r w:rsidR="00E43654">
        <w:rPr>
          <w:rFonts w:ascii="Arial" w:eastAsia="Times New Roman" w:hAnsi="Arial" w:cs="Arial"/>
        </w:rPr>
        <w:t xml:space="preserve">. </w:t>
      </w:r>
      <w:r w:rsidR="00AC5614">
        <w:rPr>
          <w:rFonts w:ascii="Arial" w:eastAsia="Times New Roman" w:hAnsi="Arial" w:cs="Arial"/>
        </w:rPr>
        <w:t>Please note, d</w:t>
      </w:r>
      <w:r w:rsidR="00FB2CB3">
        <w:rPr>
          <w:rFonts w:ascii="Arial" w:eastAsia="Times New Roman" w:hAnsi="Arial" w:cs="Arial"/>
        </w:rPr>
        <w:t>ata has been estimated for sites who provided no monitoring return.</w:t>
      </w:r>
    </w:p>
    <w:p w14:paraId="0A8A43CC" w14:textId="22F461E3" w:rsidR="00FE5ABE" w:rsidRPr="00525E39" w:rsidRDefault="00525E39" w:rsidP="00D73374">
      <w:pPr>
        <w:numPr>
          <w:ilvl w:val="0"/>
          <w:numId w:val="3"/>
        </w:numPr>
        <w:spacing w:before="240" w:after="200" w:line="276" w:lineRule="auto"/>
        <w:ind w:left="426"/>
        <w:rPr>
          <w:rFonts w:ascii="Arial" w:eastAsia="Times New Roman" w:hAnsi="Arial" w:cs="Arial"/>
        </w:rPr>
      </w:pPr>
      <w:r w:rsidRPr="00525E39">
        <w:rPr>
          <w:rFonts w:ascii="Arial" w:eastAsia="Times New Roman" w:hAnsi="Arial" w:cs="Arial"/>
        </w:rPr>
        <w:t xml:space="preserve">In </w:t>
      </w:r>
      <w:r w:rsidR="000A6367">
        <w:rPr>
          <w:rFonts w:ascii="Arial" w:eastAsia="Times New Roman" w:hAnsi="Arial" w:cs="Arial"/>
        </w:rPr>
        <w:t>202</w:t>
      </w:r>
      <w:r w:rsidR="00106019">
        <w:rPr>
          <w:rFonts w:ascii="Arial" w:eastAsia="Times New Roman" w:hAnsi="Arial" w:cs="Arial"/>
        </w:rPr>
        <w:t>3</w:t>
      </w:r>
      <w:r w:rsidR="00833898">
        <w:rPr>
          <w:rFonts w:ascii="Arial" w:eastAsia="Times New Roman" w:hAnsi="Arial" w:cs="Arial"/>
        </w:rPr>
        <w:t>,</w:t>
      </w:r>
      <w:r w:rsidR="00FE5ABE" w:rsidRPr="00525E39">
        <w:rPr>
          <w:rFonts w:ascii="Arial" w:eastAsia="Times New Roman" w:hAnsi="Arial" w:cs="Arial"/>
        </w:rPr>
        <w:t xml:space="preserve"> the extraction of sand and gravel w</w:t>
      </w:r>
      <w:r w:rsidR="002933FB" w:rsidRPr="00525E39">
        <w:rPr>
          <w:rFonts w:ascii="Arial" w:eastAsia="Times New Roman" w:hAnsi="Arial" w:cs="Arial"/>
        </w:rPr>
        <w:t xml:space="preserve">as taking place at </w:t>
      </w:r>
      <w:r w:rsidR="00FE5A98">
        <w:rPr>
          <w:rFonts w:ascii="Arial" w:eastAsia="Times New Roman" w:hAnsi="Arial" w:cs="Arial"/>
        </w:rPr>
        <w:t>9</w:t>
      </w:r>
      <w:r w:rsidR="00A60BCB">
        <w:rPr>
          <w:rFonts w:ascii="Arial" w:eastAsia="Times New Roman" w:hAnsi="Arial" w:cs="Arial"/>
        </w:rPr>
        <w:t xml:space="preserve"> active</w:t>
      </w:r>
      <w:r w:rsidRPr="00525E39">
        <w:rPr>
          <w:rFonts w:ascii="Arial" w:eastAsia="Times New Roman" w:hAnsi="Arial" w:cs="Arial"/>
        </w:rPr>
        <w:t xml:space="preserve"> sites identified in</w:t>
      </w:r>
      <w:r w:rsidR="002933FB" w:rsidRPr="00525E39">
        <w:rPr>
          <w:rFonts w:ascii="Arial" w:eastAsia="Times New Roman" w:hAnsi="Arial" w:cs="Arial"/>
        </w:rPr>
        <w:t xml:space="preserve"> table 1 below</w:t>
      </w:r>
      <w:r w:rsidR="0098382B">
        <w:rPr>
          <w:rFonts w:ascii="Arial" w:eastAsia="Times New Roman" w:hAnsi="Arial" w:cs="Arial"/>
        </w:rPr>
        <w:t>.</w:t>
      </w:r>
      <w:r w:rsidR="002933FB" w:rsidRPr="00525E39">
        <w:rPr>
          <w:rFonts w:ascii="Arial" w:eastAsia="Times New Roman" w:hAnsi="Arial" w:cs="Arial"/>
        </w:rPr>
        <w:t xml:space="preserve"> </w:t>
      </w:r>
    </w:p>
    <w:p w14:paraId="7557AC64" w14:textId="77777777" w:rsidR="002933FB" w:rsidRPr="00107841" w:rsidRDefault="002933FB" w:rsidP="00D73374">
      <w:pPr>
        <w:pStyle w:val="Sub-heading"/>
        <w:spacing w:line="276" w:lineRule="auto"/>
        <w:jc w:val="left"/>
        <w:outlineLvl w:val="1"/>
        <w:rPr>
          <w:color w:val="auto"/>
          <w:sz w:val="22"/>
          <w:szCs w:val="22"/>
        </w:rPr>
      </w:pPr>
      <w:bookmarkStart w:id="4" w:name="_Toc473105748"/>
      <w:bookmarkStart w:id="5" w:name="_Toc500147122"/>
      <w:bookmarkStart w:id="6" w:name="_Toc522792096"/>
      <w:bookmarkStart w:id="7" w:name="_Toc198549796"/>
      <w:r w:rsidRPr="006D0F66">
        <w:rPr>
          <w:color w:val="auto"/>
          <w:sz w:val="22"/>
          <w:szCs w:val="22"/>
        </w:rPr>
        <w:t>Table 1</w:t>
      </w:r>
      <w:r w:rsidR="006277C1" w:rsidRPr="006D0F66">
        <w:rPr>
          <w:color w:val="auto"/>
          <w:sz w:val="22"/>
          <w:szCs w:val="22"/>
        </w:rPr>
        <w:t>.</w:t>
      </w:r>
      <w:r w:rsidRPr="006D0F66">
        <w:rPr>
          <w:color w:val="auto"/>
          <w:sz w:val="22"/>
          <w:szCs w:val="22"/>
        </w:rPr>
        <w:t xml:space="preserve"> Sand and Gravel Quarries (Doncaster only)</w:t>
      </w:r>
      <w:bookmarkEnd w:id="4"/>
      <w:bookmarkEnd w:id="5"/>
      <w:bookmarkEnd w:id="6"/>
      <w:bookmarkEnd w:id="7"/>
      <w:r w:rsidRPr="00107841">
        <w:rPr>
          <w:color w:val="auto"/>
          <w:sz w:val="22"/>
          <w:szCs w:val="22"/>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20" w:type="dxa"/>
          <w:right w:w="120" w:type="dxa"/>
        </w:tblCellMar>
        <w:tblLook w:val="0000" w:firstRow="0" w:lastRow="0" w:firstColumn="0" w:lastColumn="0" w:noHBand="0" w:noVBand="0"/>
        <w:tblCaption w:val="Sand and Gravel Quarries (Doncaster only) "/>
        <w:tblDescription w:val="Sand and Gravel Quarries table"/>
      </w:tblPr>
      <w:tblGrid>
        <w:gridCol w:w="3008"/>
        <w:gridCol w:w="3007"/>
        <w:gridCol w:w="3005"/>
      </w:tblGrid>
      <w:tr w:rsidR="002933FB" w:rsidRPr="00EA4E4D" w14:paraId="7F736BE7" w14:textId="77777777" w:rsidTr="00871EC2">
        <w:trPr>
          <w:tblHeader/>
        </w:trPr>
        <w:tc>
          <w:tcPr>
            <w:tcW w:w="1667" w:type="pct"/>
            <w:shd w:val="clear" w:color="auto" w:fill="F2F2F2" w:themeFill="background1" w:themeFillShade="F2"/>
          </w:tcPr>
          <w:p w14:paraId="3F7D7CE0" w14:textId="77777777" w:rsidR="002933FB" w:rsidRPr="00EA4E4D" w:rsidRDefault="002933FB" w:rsidP="00D73374">
            <w:pPr>
              <w:spacing w:line="276" w:lineRule="auto"/>
              <w:rPr>
                <w:rFonts w:ascii="Arial" w:hAnsi="Arial" w:cs="Arial"/>
                <w:b/>
                <w:sz w:val="20"/>
                <w:szCs w:val="20"/>
              </w:rPr>
            </w:pPr>
            <w:r w:rsidRPr="00EA4E4D">
              <w:rPr>
                <w:rFonts w:ascii="Arial" w:hAnsi="Arial" w:cs="Arial"/>
                <w:b/>
                <w:sz w:val="20"/>
                <w:szCs w:val="20"/>
              </w:rPr>
              <w:t xml:space="preserve">Quarry Name </w:t>
            </w:r>
          </w:p>
        </w:tc>
        <w:tc>
          <w:tcPr>
            <w:tcW w:w="1667" w:type="pct"/>
            <w:shd w:val="clear" w:color="auto" w:fill="F2F2F2" w:themeFill="background1" w:themeFillShade="F2"/>
          </w:tcPr>
          <w:p w14:paraId="4C2C83A7" w14:textId="77777777" w:rsidR="002933FB" w:rsidRPr="00EA4E4D" w:rsidRDefault="002933FB" w:rsidP="00D73374">
            <w:pPr>
              <w:spacing w:line="276" w:lineRule="auto"/>
              <w:rPr>
                <w:rFonts w:ascii="Arial" w:hAnsi="Arial" w:cs="Arial"/>
                <w:b/>
                <w:sz w:val="20"/>
                <w:szCs w:val="20"/>
              </w:rPr>
            </w:pPr>
            <w:r w:rsidRPr="00EA4E4D">
              <w:rPr>
                <w:rFonts w:ascii="Arial" w:hAnsi="Arial" w:cs="Arial"/>
                <w:b/>
                <w:sz w:val="20"/>
                <w:szCs w:val="20"/>
              </w:rPr>
              <w:t>Owner / Operator</w:t>
            </w:r>
          </w:p>
        </w:tc>
        <w:tc>
          <w:tcPr>
            <w:tcW w:w="1666" w:type="pct"/>
            <w:shd w:val="clear" w:color="auto" w:fill="F2F2F2" w:themeFill="background1" w:themeFillShade="F2"/>
          </w:tcPr>
          <w:p w14:paraId="62C3752F" w14:textId="5DE1C228" w:rsidR="002933FB" w:rsidRPr="00EA4E4D" w:rsidRDefault="00111A52" w:rsidP="00D73374">
            <w:pPr>
              <w:spacing w:line="276" w:lineRule="auto"/>
              <w:rPr>
                <w:rFonts w:ascii="Arial" w:hAnsi="Arial" w:cs="Arial"/>
                <w:b/>
                <w:sz w:val="20"/>
                <w:szCs w:val="20"/>
              </w:rPr>
            </w:pPr>
            <w:r w:rsidRPr="00EA4E4D">
              <w:rPr>
                <w:rFonts w:ascii="Arial" w:hAnsi="Arial" w:cs="Arial"/>
                <w:b/>
                <w:sz w:val="20"/>
                <w:szCs w:val="20"/>
              </w:rPr>
              <w:t>Status (</w:t>
            </w:r>
            <w:r w:rsidR="000A6367">
              <w:rPr>
                <w:rFonts w:ascii="Arial" w:hAnsi="Arial" w:cs="Arial"/>
                <w:b/>
                <w:sz w:val="20"/>
                <w:szCs w:val="20"/>
              </w:rPr>
              <w:t>202</w:t>
            </w:r>
            <w:r w:rsidR="004F1498">
              <w:rPr>
                <w:rFonts w:ascii="Arial" w:hAnsi="Arial" w:cs="Arial"/>
                <w:b/>
                <w:sz w:val="20"/>
                <w:szCs w:val="20"/>
              </w:rPr>
              <w:t>3</w:t>
            </w:r>
            <w:r w:rsidR="004D2505" w:rsidRPr="00EA4E4D">
              <w:rPr>
                <w:rFonts w:ascii="Arial" w:hAnsi="Arial" w:cs="Arial"/>
                <w:b/>
                <w:sz w:val="20"/>
                <w:szCs w:val="20"/>
              </w:rPr>
              <w:t>)</w:t>
            </w:r>
          </w:p>
        </w:tc>
      </w:tr>
      <w:tr w:rsidR="00525E39" w:rsidRPr="00EA4E4D" w14:paraId="2C9BCA0A" w14:textId="77777777" w:rsidTr="00871EC2">
        <w:tc>
          <w:tcPr>
            <w:tcW w:w="1667" w:type="pct"/>
          </w:tcPr>
          <w:p w14:paraId="09FF8956" w14:textId="77777777" w:rsidR="00525E39" w:rsidRPr="00EA4E4D" w:rsidRDefault="00525E39" w:rsidP="00D73374">
            <w:pPr>
              <w:spacing w:line="276" w:lineRule="auto"/>
              <w:rPr>
                <w:rFonts w:ascii="Arial" w:hAnsi="Arial" w:cs="Arial"/>
                <w:sz w:val="20"/>
                <w:szCs w:val="20"/>
              </w:rPr>
            </w:pPr>
            <w:r w:rsidRPr="00EA4E4D">
              <w:rPr>
                <w:rFonts w:ascii="Arial" w:hAnsi="Arial" w:cs="Arial"/>
                <w:sz w:val="20"/>
                <w:szCs w:val="20"/>
              </w:rPr>
              <w:t xml:space="preserve">Austerfield Quarry </w:t>
            </w:r>
          </w:p>
        </w:tc>
        <w:tc>
          <w:tcPr>
            <w:tcW w:w="1667" w:type="pct"/>
          </w:tcPr>
          <w:p w14:paraId="2B446B01" w14:textId="77777777" w:rsidR="00525E39" w:rsidRPr="00EA4E4D" w:rsidRDefault="00525E39" w:rsidP="00D73374">
            <w:pPr>
              <w:spacing w:line="276" w:lineRule="auto"/>
              <w:rPr>
                <w:rFonts w:ascii="Arial" w:hAnsi="Arial" w:cs="Arial"/>
                <w:sz w:val="20"/>
                <w:szCs w:val="20"/>
              </w:rPr>
            </w:pPr>
            <w:r w:rsidRPr="00EA4E4D">
              <w:rPr>
                <w:rFonts w:ascii="Arial" w:hAnsi="Arial" w:cs="Arial"/>
                <w:sz w:val="20"/>
                <w:szCs w:val="20"/>
              </w:rPr>
              <w:t>Hanson Quarry Products Europe Ltd</w:t>
            </w:r>
          </w:p>
        </w:tc>
        <w:tc>
          <w:tcPr>
            <w:tcW w:w="1666" w:type="pct"/>
          </w:tcPr>
          <w:p w14:paraId="5F4FB272" w14:textId="77777777" w:rsidR="003167D3" w:rsidRDefault="00525E39" w:rsidP="00D73374">
            <w:pPr>
              <w:spacing w:line="276" w:lineRule="auto"/>
              <w:rPr>
                <w:rFonts w:ascii="Arial" w:hAnsi="Arial" w:cs="Arial"/>
                <w:sz w:val="20"/>
                <w:szCs w:val="20"/>
              </w:rPr>
            </w:pPr>
            <w:r w:rsidRPr="00EA4E4D">
              <w:rPr>
                <w:rFonts w:ascii="Arial" w:hAnsi="Arial" w:cs="Arial"/>
                <w:sz w:val="20"/>
                <w:szCs w:val="20"/>
              </w:rPr>
              <w:t>Active</w:t>
            </w:r>
            <w:r w:rsidR="0034414F">
              <w:rPr>
                <w:rFonts w:ascii="Arial" w:hAnsi="Arial" w:cs="Arial"/>
                <w:sz w:val="20"/>
                <w:szCs w:val="20"/>
              </w:rPr>
              <w:t>.</w:t>
            </w:r>
            <w:r w:rsidR="003507D4">
              <w:rPr>
                <w:rFonts w:ascii="Arial" w:hAnsi="Arial" w:cs="Arial"/>
                <w:sz w:val="20"/>
                <w:szCs w:val="20"/>
              </w:rPr>
              <w:t xml:space="preserve"> </w:t>
            </w:r>
          </w:p>
          <w:p w14:paraId="7AC9D921" w14:textId="57FDAD0F" w:rsidR="00525E39" w:rsidRPr="00EA4E4D" w:rsidRDefault="003507D4" w:rsidP="00D73374">
            <w:pPr>
              <w:spacing w:line="276" w:lineRule="auto"/>
              <w:rPr>
                <w:rFonts w:ascii="Arial" w:hAnsi="Arial" w:cs="Arial"/>
                <w:sz w:val="20"/>
                <w:szCs w:val="20"/>
                <w:highlight w:val="yellow"/>
              </w:rPr>
            </w:pPr>
            <w:r>
              <w:rPr>
                <w:rFonts w:ascii="Arial" w:hAnsi="Arial" w:cs="Arial"/>
                <w:sz w:val="20"/>
                <w:szCs w:val="20"/>
              </w:rPr>
              <w:t xml:space="preserve">End of Permission </w:t>
            </w:r>
            <w:r w:rsidR="000738F8">
              <w:rPr>
                <w:rFonts w:ascii="Arial" w:hAnsi="Arial" w:cs="Arial"/>
                <w:sz w:val="20"/>
                <w:szCs w:val="20"/>
              </w:rPr>
              <w:t>2029</w:t>
            </w:r>
          </w:p>
        </w:tc>
      </w:tr>
      <w:tr w:rsidR="00525E39" w:rsidRPr="00EA4E4D" w14:paraId="4E72ECED" w14:textId="77777777" w:rsidTr="00871EC2">
        <w:tc>
          <w:tcPr>
            <w:tcW w:w="1667" w:type="pct"/>
          </w:tcPr>
          <w:p w14:paraId="6FA2AFA1" w14:textId="77777777" w:rsidR="00525E39" w:rsidRPr="00EA4E4D" w:rsidRDefault="00525E39" w:rsidP="00D73374">
            <w:pPr>
              <w:spacing w:line="276" w:lineRule="auto"/>
              <w:rPr>
                <w:rFonts w:ascii="Arial" w:hAnsi="Arial" w:cs="Arial"/>
                <w:sz w:val="20"/>
                <w:szCs w:val="20"/>
              </w:rPr>
            </w:pPr>
            <w:r w:rsidRPr="00EA4E4D">
              <w:rPr>
                <w:rFonts w:ascii="Arial" w:hAnsi="Arial" w:cs="Arial"/>
                <w:sz w:val="20"/>
                <w:szCs w:val="20"/>
              </w:rPr>
              <w:t xml:space="preserve">Armthorpe Quarry </w:t>
            </w:r>
          </w:p>
        </w:tc>
        <w:tc>
          <w:tcPr>
            <w:tcW w:w="1667" w:type="pct"/>
          </w:tcPr>
          <w:p w14:paraId="4F38B710" w14:textId="77777777" w:rsidR="00525E39" w:rsidRPr="00EA4E4D" w:rsidRDefault="00525E39" w:rsidP="00D73374">
            <w:pPr>
              <w:spacing w:line="276" w:lineRule="auto"/>
              <w:rPr>
                <w:rFonts w:ascii="Arial" w:hAnsi="Arial" w:cs="Arial"/>
                <w:sz w:val="20"/>
                <w:szCs w:val="20"/>
              </w:rPr>
            </w:pPr>
            <w:r w:rsidRPr="00EA4E4D">
              <w:rPr>
                <w:rFonts w:ascii="Arial" w:hAnsi="Arial" w:cs="Arial"/>
                <w:sz w:val="20"/>
                <w:szCs w:val="20"/>
              </w:rPr>
              <w:t>(Yorkshire Aggregates) - 15/03012/MINA</w:t>
            </w:r>
          </w:p>
        </w:tc>
        <w:tc>
          <w:tcPr>
            <w:tcW w:w="1666" w:type="pct"/>
          </w:tcPr>
          <w:p w14:paraId="3FEF2C1A" w14:textId="77777777" w:rsidR="00525E39" w:rsidRDefault="00525E39" w:rsidP="00D73374">
            <w:pPr>
              <w:spacing w:line="276" w:lineRule="auto"/>
              <w:rPr>
                <w:rFonts w:ascii="Arial" w:hAnsi="Arial" w:cs="Arial"/>
                <w:sz w:val="20"/>
                <w:szCs w:val="20"/>
              </w:rPr>
            </w:pPr>
            <w:r w:rsidRPr="00EA4E4D">
              <w:rPr>
                <w:rFonts w:ascii="Arial" w:hAnsi="Arial" w:cs="Arial"/>
                <w:sz w:val="20"/>
                <w:szCs w:val="20"/>
              </w:rPr>
              <w:t>Active</w:t>
            </w:r>
            <w:r w:rsidR="004F1498">
              <w:rPr>
                <w:rFonts w:ascii="Arial" w:hAnsi="Arial" w:cs="Arial"/>
                <w:sz w:val="20"/>
                <w:szCs w:val="20"/>
              </w:rPr>
              <w:t xml:space="preserve"> (no return)</w:t>
            </w:r>
          </w:p>
          <w:p w14:paraId="4DD3B927" w14:textId="15989DB8" w:rsidR="003167D3" w:rsidRPr="00EA4E4D" w:rsidRDefault="000658F6" w:rsidP="00D73374">
            <w:pPr>
              <w:spacing w:line="276" w:lineRule="auto"/>
              <w:rPr>
                <w:rFonts w:ascii="Arial" w:hAnsi="Arial" w:cs="Arial"/>
                <w:sz w:val="20"/>
                <w:szCs w:val="20"/>
                <w:highlight w:val="yellow"/>
              </w:rPr>
            </w:pPr>
            <w:r w:rsidRPr="00EF5C85">
              <w:rPr>
                <w:rFonts w:ascii="Arial" w:hAnsi="Arial" w:cs="Arial"/>
                <w:sz w:val="20"/>
                <w:szCs w:val="20"/>
              </w:rPr>
              <w:t>End of Permission 29.03.2025</w:t>
            </w:r>
          </w:p>
        </w:tc>
      </w:tr>
      <w:tr w:rsidR="00525E39" w:rsidRPr="00EA4E4D" w14:paraId="4994A6B6" w14:textId="77777777" w:rsidTr="00871EC2">
        <w:tc>
          <w:tcPr>
            <w:tcW w:w="1667" w:type="pct"/>
          </w:tcPr>
          <w:p w14:paraId="3C4BEF77" w14:textId="77777777" w:rsidR="00525E39" w:rsidRPr="00EA4E4D" w:rsidRDefault="00525E39" w:rsidP="00D73374">
            <w:pPr>
              <w:spacing w:line="276" w:lineRule="auto"/>
              <w:rPr>
                <w:rFonts w:ascii="Arial" w:hAnsi="Arial" w:cs="Arial"/>
                <w:sz w:val="20"/>
                <w:szCs w:val="20"/>
              </w:rPr>
            </w:pPr>
            <w:proofErr w:type="spellStart"/>
            <w:r w:rsidRPr="00EA4E4D">
              <w:rPr>
                <w:rFonts w:ascii="Arial" w:hAnsi="Arial" w:cs="Arial"/>
                <w:sz w:val="20"/>
                <w:szCs w:val="20"/>
              </w:rPr>
              <w:t>Dunsville</w:t>
            </w:r>
            <w:proofErr w:type="spellEnd"/>
            <w:r w:rsidRPr="00EA4E4D">
              <w:rPr>
                <w:rFonts w:ascii="Arial" w:hAnsi="Arial" w:cs="Arial"/>
                <w:sz w:val="20"/>
                <w:szCs w:val="20"/>
              </w:rPr>
              <w:t xml:space="preserve"> (Lings) Quarry </w:t>
            </w:r>
          </w:p>
        </w:tc>
        <w:tc>
          <w:tcPr>
            <w:tcW w:w="1667" w:type="pct"/>
          </w:tcPr>
          <w:p w14:paraId="482E83A5" w14:textId="77777777" w:rsidR="00525E39" w:rsidRPr="00EA4E4D" w:rsidRDefault="00525E39" w:rsidP="00D73374">
            <w:pPr>
              <w:spacing w:line="276" w:lineRule="auto"/>
              <w:rPr>
                <w:rFonts w:ascii="Arial" w:hAnsi="Arial" w:cs="Arial"/>
                <w:sz w:val="20"/>
                <w:szCs w:val="20"/>
              </w:rPr>
            </w:pPr>
            <w:r w:rsidRPr="00EA4E4D">
              <w:rPr>
                <w:rFonts w:ascii="Arial" w:hAnsi="Arial" w:cs="Arial"/>
                <w:sz w:val="20"/>
                <w:szCs w:val="20"/>
              </w:rPr>
              <w:t>Breedon Aggregates)</w:t>
            </w:r>
          </w:p>
        </w:tc>
        <w:tc>
          <w:tcPr>
            <w:tcW w:w="1666" w:type="pct"/>
          </w:tcPr>
          <w:p w14:paraId="693954E8" w14:textId="77777777" w:rsidR="00525E39" w:rsidRDefault="00525E39" w:rsidP="00D73374">
            <w:pPr>
              <w:spacing w:line="276" w:lineRule="auto"/>
              <w:rPr>
                <w:rFonts w:ascii="Arial" w:hAnsi="Arial" w:cs="Arial"/>
                <w:sz w:val="20"/>
                <w:szCs w:val="20"/>
              </w:rPr>
            </w:pPr>
            <w:r w:rsidRPr="00EA4E4D">
              <w:rPr>
                <w:rFonts w:ascii="Arial" w:hAnsi="Arial" w:cs="Arial"/>
                <w:sz w:val="20"/>
                <w:szCs w:val="20"/>
              </w:rPr>
              <w:t>Active</w:t>
            </w:r>
          </w:p>
          <w:p w14:paraId="3B7D1B7F" w14:textId="21B46A80" w:rsidR="000658F6" w:rsidRPr="00EA4E4D" w:rsidRDefault="000658F6" w:rsidP="00D73374">
            <w:pPr>
              <w:spacing w:line="276" w:lineRule="auto"/>
              <w:rPr>
                <w:rFonts w:ascii="Arial" w:hAnsi="Arial" w:cs="Arial"/>
                <w:sz w:val="20"/>
                <w:szCs w:val="20"/>
                <w:highlight w:val="yellow"/>
              </w:rPr>
            </w:pPr>
            <w:r w:rsidRPr="00EF5C85">
              <w:rPr>
                <w:rFonts w:ascii="Arial" w:hAnsi="Arial" w:cs="Arial"/>
                <w:sz w:val="20"/>
                <w:szCs w:val="20"/>
              </w:rPr>
              <w:t xml:space="preserve">End of Permission </w:t>
            </w:r>
            <w:r w:rsidR="00AB29A7" w:rsidRPr="00EF5C85">
              <w:rPr>
                <w:rFonts w:ascii="Arial" w:hAnsi="Arial" w:cs="Arial"/>
                <w:sz w:val="20"/>
                <w:szCs w:val="20"/>
              </w:rPr>
              <w:t>22.02.2042</w:t>
            </w:r>
          </w:p>
        </w:tc>
      </w:tr>
      <w:tr w:rsidR="00525E39" w:rsidRPr="00EA4E4D" w14:paraId="061A1F40" w14:textId="77777777" w:rsidTr="00871EC2">
        <w:tc>
          <w:tcPr>
            <w:tcW w:w="1667" w:type="pct"/>
          </w:tcPr>
          <w:p w14:paraId="66CC6A35" w14:textId="77777777" w:rsidR="00525E39" w:rsidRPr="00EA4E4D" w:rsidRDefault="00525E39" w:rsidP="00D73374">
            <w:pPr>
              <w:spacing w:line="276" w:lineRule="auto"/>
              <w:rPr>
                <w:rFonts w:ascii="Arial" w:hAnsi="Arial" w:cs="Arial"/>
                <w:color w:val="808080" w:themeColor="background1" w:themeShade="80"/>
                <w:sz w:val="20"/>
                <w:szCs w:val="20"/>
              </w:rPr>
            </w:pPr>
            <w:r w:rsidRPr="00EA4E4D">
              <w:rPr>
                <w:rFonts w:ascii="Arial" w:hAnsi="Arial" w:cs="Arial"/>
                <w:color w:val="808080" w:themeColor="background1" w:themeShade="80"/>
                <w:sz w:val="20"/>
                <w:szCs w:val="20"/>
              </w:rPr>
              <w:t xml:space="preserve">Blaxton Quarry </w:t>
            </w:r>
          </w:p>
        </w:tc>
        <w:tc>
          <w:tcPr>
            <w:tcW w:w="1667" w:type="pct"/>
          </w:tcPr>
          <w:p w14:paraId="4B136824" w14:textId="77777777" w:rsidR="00525E39" w:rsidRPr="00EA4E4D" w:rsidRDefault="00525E39" w:rsidP="00D73374">
            <w:pPr>
              <w:spacing w:line="276" w:lineRule="auto"/>
              <w:rPr>
                <w:rFonts w:ascii="Arial" w:hAnsi="Arial" w:cs="Arial"/>
                <w:color w:val="808080" w:themeColor="background1" w:themeShade="80"/>
                <w:sz w:val="20"/>
                <w:szCs w:val="20"/>
              </w:rPr>
            </w:pPr>
            <w:r w:rsidRPr="00EA4E4D">
              <w:rPr>
                <w:rFonts w:ascii="Arial" w:hAnsi="Arial" w:cs="Arial"/>
                <w:color w:val="808080" w:themeColor="background1" w:themeShade="80"/>
                <w:sz w:val="20"/>
                <w:szCs w:val="20"/>
              </w:rPr>
              <w:t>Vigo Group</w:t>
            </w:r>
          </w:p>
        </w:tc>
        <w:tc>
          <w:tcPr>
            <w:tcW w:w="1666" w:type="pct"/>
          </w:tcPr>
          <w:p w14:paraId="4589A4F8" w14:textId="77777777" w:rsidR="00361F23" w:rsidRDefault="00525E39" w:rsidP="00D73374">
            <w:pPr>
              <w:spacing w:line="276" w:lineRule="auto"/>
              <w:rPr>
                <w:rFonts w:ascii="Arial" w:hAnsi="Arial" w:cs="Arial"/>
                <w:color w:val="808080" w:themeColor="background1" w:themeShade="80"/>
                <w:sz w:val="20"/>
                <w:szCs w:val="20"/>
              </w:rPr>
            </w:pPr>
            <w:r w:rsidRPr="00EA4E4D">
              <w:rPr>
                <w:rFonts w:ascii="Arial" w:hAnsi="Arial" w:cs="Arial"/>
                <w:color w:val="808080" w:themeColor="background1" w:themeShade="80"/>
                <w:sz w:val="20"/>
                <w:szCs w:val="20"/>
              </w:rPr>
              <w:t xml:space="preserve">Inactive </w:t>
            </w:r>
          </w:p>
          <w:p w14:paraId="428F14B4" w14:textId="3351006A" w:rsidR="00525E39" w:rsidRPr="00EA4E4D" w:rsidRDefault="00525E39" w:rsidP="00D73374">
            <w:pPr>
              <w:spacing w:line="276" w:lineRule="auto"/>
              <w:rPr>
                <w:rFonts w:ascii="Arial" w:hAnsi="Arial" w:cs="Arial"/>
                <w:color w:val="808080" w:themeColor="background1" w:themeShade="80"/>
                <w:sz w:val="20"/>
                <w:szCs w:val="20"/>
                <w:highlight w:val="yellow"/>
              </w:rPr>
            </w:pPr>
            <w:r w:rsidRPr="00EA4E4D">
              <w:rPr>
                <w:rFonts w:ascii="Arial" w:hAnsi="Arial" w:cs="Arial"/>
                <w:color w:val="808080" w:themeColor="background1" w:themeShade="80"/>
                <w:sz w:val="20"/>
                <w:szCs w:val="20"/>
              </w:rPr>
              <w:t>(no plans for extraction) (material transfer site)</w:t>
            </w:r>
          </w:p>
        </w:tc>
      </w:tr>
      <w:tr w:rsidR="00525E39" w:rsidRPr="00EA4E4D" w14:paraId="6D14076C" w14:textId="77777777" w:rsidTr="00871EC2">
        <w:tc>
          <w:tcPr>
            <w:tcW w:w="1667" w:type="pct"/>
          </w:tcPr>
          <w:p w14:paraId="332D9645" w14:textId="77777777" w:rsidR="00525E39" w:rsidRPr="00EA4E4D" w:rsidRDefault="00525E39" w:rsidP="00D73374">
            <w:pPr>
              <w:spacing w:line="276" w:lineRule="auto"/>
              <w:rPr>
                <w:rFonts w:ascii="Arial" w:hAnsi="Arial" w:cs="Arial"/>
                <w:sz w:val="20"/>
                <w:szCs w:val="20"/>
              </w:rPr>
            </w:pPr>
            <w:r w:rsidRPr="00EA4E4D">
              <w:rPr>
                <w:rFonts w:ascii="Arial" w:hAnsi="Arial" w:cs="Arial"/>
                <w:sz w:val="20"/>
                <w:szCs w:val="20"/>
              </w:rPr>
              <w:t>Partridge Hill (High Common Lane, Austerfield)</w:t>
            </w:r>
          </w:p>
        </w:tc>
        <w:tc>
          <w:tcPr>
            <w:tcW w:w="1667" w:type="pct"/>
          </w:tcPr>
          <w:p w14:paraId="76EA9B7F" w14:textId="77777777" w:rsidR="00525E39" w:rsidRPr="00EA4E4D" w:rsidRDefault="00525E39" w:rsidP="00D73374">
            <w:pPr>
              <w:spacing w:line="276" w:lineRule="auto"/>
              <w:rPr>
                <w:rFonts w:ascii="Arial" w:hAnsi="Arial" w:cs="Arial"/>
                <w:sz w:val="20"/>
                <w:szCs w:val="20"/>
              </w:rPr>
            </w:pPr>
            <w:r w:rsidRPr="00EA4E4D">
              <w:rPr>
                <w:rFonts w:ascii="Arial" w:hAnsi="Arial" w:cs="Arial"/>
                <w:sz w:val="20"/>
                <w:szCs w:val="20"/>
              </w:rPr>
              <w:t>Misson Sand and Gravel</w:t>
            </w:r>
          </w:p>
        </w:tc>
        <w:tc>
          <w:tcPr>
            <w:tcW w:w="1666" w:type="pct"/>
          </w:tcPr>
          <w:p w14:paraId="0D6193EE" w14:textId="77777777" w:rsidR="00525E39" w:rsidRDefault="00525E39" w:rsidP="00D73374">
            <w:pPr>
              <w:spacing w:line="276" w:lineRule="auto"/>
              <w:rPr>
                <w:rFonts w:ascii="Arial" w:hAnsi="Arial" w:cs="Arial"/>
                <w:sz w:val="20"/>
                <w:szCs w:val="20"/>
              </w:rPr>
            </w:pPr>
            <w:r w:rsidRPr="00EA4E4D">
              <w:rPr>
                <w:rFonts w:ascii="Arial" w:hAnsi="Arial" w:cs="Arial"/>
                <w:sz w:val="20"/>
                <w:szCs w:val="20"/>
              </w:rPr>
              <w:t>Active</w:t>
            </w:r>
          </w:p>
          <w:p w14:paraId="215C4D73" w14:textId="5310B36B" w:rsidR="00695606" w:rsidRPr="00EA4E4D" w:rsidRDefault="00372BD4" w:rsidP="00D73374">
            <w:pPr>
              <w:spacing w:line="276" w:lineRule="auto"/>
              <w:rPr>
                <w:rFonts w:ascii="Arial" w:hAnsi="Arial" w:cs="Arial"/>
                <w:sz w:val="20"/>
                <w:szCs w:val="20"/>
                <w:highlight w:val="yellow"/>
              </w:rPr>
            </w:pPr>
            <w:r w:rsidRPr="006A3F56">
              <w:rPr>
                <w:rFonts w:ascii="Arial" w:hAnsi="Arial" w:cs="Arial"/>
                <w:sz w:val="20"/>
                <w:szCs w:val="20"/>
              </w:rPr>
              <w:t xml:space="preserve">End of Permission </w:t>
            </w:r>
            <w:r w:rsidR="00005754">
              <w:rPr>
                <w:rFonts w:ascii="Arial" w:hAnsi="Arial" w:cs="Arial"/>
                <w:sz w:val="20"/>
                <w:szCs w:val="20"/>
              </w:rPr>
              <w:t>2042</w:t>
            </w:r>
          </w:p>
        </w:tc>
      </w:tr>
      <w:tr w:rsidR="00525E39" w:rsidRPr="00EA4E4D" w14:paraId="1291E033" w14:textId="77777777" w:rsidTr="00871EC2">
        <w:tc>
          <w:tcPr>
            <w:tcW w:w="1667" w:type="pct"/>
          </w:tcPr>
          <w:p w14:paraId="346DA17D" w14:textId="3DA2E14F" w:rsidR="00525E39" w:rsidRPr="00EA4E4D" w:rsidRDefault="00525E39" w:rsidP="00D73374">
            <w:pPr>
              <w:spacing w:line="276" w:lineRule="auto"/>
              <w:rPr>
                <w:rFonts w:ascii="Arial" w:hAnsi="Arial" w:cs="Arial"/>
                <w:sz w:val="20"/>
                <w:szCs w:val="20"/>
              </w:rPr>
            </w:pPr>
            <w:r w:rsidRPr="00EA4E4D">
              <w:rPr>
                <w:rFonts w:ascii="Arial" w:hAnsi="Arial" w:cs="Arial"/>
                <w:sz w:val="20"/>
                <w:szCs w:val="20"/>
              </w:rPr>
              <w:t>58’s Road</w:t>
            </w:r>
            <w:r w:rsidR="00A301BF" w:rsidRPr="00EA4E4D">
              <w:rPr>
                <w:rFonts w:ascii="Arial" w:hAnsi="Arial" w:cs="Arial"/>
                <w:sz w:val="20"/>
                <w:szCs w:val="20"/>
              </w:rPr>
              <w:t>.</w:t>
            </w:r>
          </w:p>
        </w:tc>
        <w:tc>
          <w:tcPr>
            <w:tcW w:w="1667" w:type="pct"/>
          </w:tcPr>
          <w:p w14:paraId="6CD8F793" w14:textId="77777777" w:rsidR="00525E39" w:rsidRPr="00EA4E4D" w:rsidRDefault="00525E39" w:rsidP="00D73374">
            <w:pPr>
              <w:spacing w:line="276" w:lineRule="auto"/>
              <w:rPr>
                <w:rFonts w:ascii="Arial" w:hAnsi="Arial" w:cs="Arial"/>
                <w:sz w:val="20"/>
                <w:szCs w:val="20"/>
              </w:rPr>
            </w:pPr>
            <w:r w:rsidRPr="00EA4E4D">
              <w:rPr>
                <w:rFonts w:ascii="Arial" w:hAnsi="Arial" w:cs="Arial"/>
                <w:sz w:val="20"/>
                <w:szCs w:val="20"/>
              </w:rPr>
              <w:t>North Lincs' Aggregates</w:t>
            </w:r>
          </w:p>
        </w:tc>
        <w:tc>
          <w:tcPr>
            <w:tcW w:w="1666" w:type="pct"/>
          </w:tcPr>
          <w:p w14:paraId="59C7B889" w14:textId="77777777" w:rsidR="00525E39" w:rsidRDefault="00A60BCB" w:rsidP="00D73374">
            <w:pPr>
              <w:spacing w:line="276" w:lineRule="auto"/>
              <w:rPr>
                <w:rFonts w:ascii="Arial" w:hAnsi="Arial" w:cs="Arial"/>
                <w:sz w:val="20"/>
                <w:szCs w:val="20"/>
              </w:rPr>
            </w:pPr>
            <w:r w:rsidRPr="00A60BCB">
              <w:rPr>
                <w:rFonts w:ascii="Arial" w:hAnsi="Arial" w:cs="Arial"/>
                <w:sz w:val="20"/>
                <w:szCs w:val="20"/>
              </w:rPr>
              <w:t xml:space="preserve">Worked out and </w:t>
            </w:r>
            <w:r>
              <w:rPr>
                <w:rFonts w:ascii="Arial" w:hAnsi="Arial" w:cs="Arial"/>
                <w:sz w:val="20"/>
                <w:szCs w:val="20"/>
              </w:rPr>
              <w:t>awaiting restoration.</w:t>
            </w:r>
            <w:r w:rsidRPr="00A60BCB">
              <w:rPr>
                <w:rFonts w:ascii="Arial" w:hAnsi="Arial" w:cs="Arial"/>
                <w:sz w:val="20"/>
                <w:szCs w:val="20"/>
              </w:rPr>
              <w:t xml:space="preserve"> (</w:t>
            </w:r>
            <w:r w:rsidR="00EB00AC">
              <w:rPr>
                <w:rFonts w:ascii="Arial" w:hAnsi="Arial" w:cs="Arial"/>
                <w:sz w:val="20"/>
                <w:szCs w:val="20"/>
              </w:rPr>
              <w:t>s</w:t>
            </w:r>
            <w:r w:rsidRPr="00A60BCB">
              <w:rPr>
                <w:rFonts w:ascii="Arial" w:hAnsi="Arial" w:cs="Arial"/>
                <w:sz w:val="20"/>
                <w:szCs w:val="20"/>
              </w:rPr>
              <w:t>ource of information - site visit)</w:t>
            </w:r>
          </w:p>
          <w:p w14:paraId="5A9EA0F6" w14:textId="214904DB" w:rsidR="00C53049" w:rsidRPr="00EA4E4D" w:rsidRDefault="00C53049" w:rsidP="00D73374">
            <w:pPr>
              <w:spacing w:line="276" w:lineRule="auto"/>
              <w:rPr>
                <w:rFonts w:ascii="Arial" w:hAnsi="Arial" w:cs="Arial"/>
                <w:sz w:val="20"/>
                <w:szCs w:val="20"/>
                <w:highlight w:val="yellow"/>
              </w:rPr>
            </w:pPr>
            <w:r w:rsidRPr="006A3F56">
              <w:rPr>
                <w:rFonts w:ascii="Arial" w:hAnsi="Arial" w:cs="Arial"/>
                <w:sz w:val="20"/>
                <w:szCs w:val="20"/>
              </w:rPr>
              <w:lastRenderedPageBreak/>
              <w:t>End of Permission 2042</w:t>
            </w:r>
          </w:p>
        </w:tc>
      </w:tr>
      <w:tr w:rsidR="00A301BF" w:rsidRPr="00EA4E4D" w14:paraId="66C9FB3C" w14:textId="77777777" w:rsidTr="00871EC2">
        <w:tc>
          <w:tcPr>
            <w:tcW w:w="1667" w:type="pct"/>
          </w:tcPr>
          <w:p w14:paraId="4BCF2A9B" w14:textId="051FA4F9" w:rsidR="00A301BF" w:rsidRPr="00EA4E4D" w:rsidRDefault="00A301BF" w:rsidP="00D73374">
            <w:pPr>
              <w:spacing w:line="276" w:lineRule="auto"/>
              <w:rPr>
                <w:rFonts w:ascii="Arial" w:hAnsi="Arial" w:cs="Arial"/>
                <w:sz w:val="20"/>
                <w:szCs w:val="20"/>
              </w:rPr>
            </w:pPr>
            <w:r w:rsidRPr="00EA4E4D">
              <w:rPr>
                <w:rFonts w:ascii="Arial" w:hAnsi="Arial" w:cs="Arial"/>
                <w:sz w:val="20"/>
                <w:szCs w:val="20"/>
              </w:rPr>
              <w:lastRenderedPageBreak/>
              <w:t xml:space="preserve">Land On </w:t>
            </w:r>
            <w:proofErr w:type="gramStart"/>
            <w:r w:rsidRPr="00EA4E4D">
              <w:rPr>
                <w:rFonts w:ascii="Arial" w:hAnsi="Arial" w:cs="Arial"/>
                <w:sz w:val="20"/>
                <w:szCs w:val="20"/>
              </w:rPr>
              <w:t>The</w:t>
            </w:r>
            <w:proofErr w:type="gramEnd"/>
            <w:r w:rsidRPr="00EA4E4D">
              <w:rPr>
                <w:rFonts w:ascii="Arial" w:hAnsi="Arial" w:cs="Arial"/>
                <w:sz w:val="20"/>
                <w:szCs w:val="20"/>
              </w:rPr>
              <w:t xml:space="preserve"> North Side Of Bank End Road. Finningley</w:t>
            </w:r>
          </w:p>
        </w:tc>
        <w:tc>
          <w:tcPr>
            <w:tcW w:w="1667" w:type="pct"/>
          </w:tcPr>
          <w:p w14:paraId="65A2504D" w14:textId="0EFAECFE" w:rsidR="00A301BF" w:rsidRPr="00EA4E4D" w:rsidRDefault="00A301BF" w:rsidP="00D73374">
            <w:pPr>
              <w:spacing w:line="276" w:lineRule="auto"/>
              <w:rPr>
                <w:rFonts w:ascii="Arial" w:hAnsi="Arial" w:cs="Arial"/>
                <w:sz w:val="20"/>
                <w:szCs w:val="20"/>
              </w:rPr>
            </w:pPr>
            <w:r w:rsidRPr="00EA4E4D">
              <w:rPr>
                <w:rFonts w:ascii="Arial" w:hAnsi="Arial" w:cs="Arial"/>
                <w:sz w:val="20"/>
                <w:szCs w:val="20"/>
              </w:rPr>
              <w:t>North Lincs' Aggregates</w:t>
            </w:r>
          </w:p>
        </w:tc>
        <w:tc>
          <w:tcPr>
            <w:tcW w:w="1666" w:type="pct"/>
          </w:tcPr>
          <w:p w14:paraId="10BB5EB1" w14:textId="77777777" w:rsidR="00A301BF" w:rsidRDefault="00A301BF" w:rsidP="00D73374">
            <w:pPr>
              <w:spacing w:line="276" w:lineRule="auto"/>
              <w:rPr>
                <w:rFonts w:ascii="Arial" w:hAnsi="Arial" w:cs="Arial"/>
                <w:sz w:val="20"/>
                <w:szCs w:val="20"/>
              </w:rPr>
            </w:pPr>
            <w:r w:rsidRPr="00EA4E4D">
              <w:rPr>
                <w:rFonts w:ascii="Arial" w:hAnsi="Arial" w:cs="Arial"/>
                <w:sz w:val="20"/>
                <w:szCs w:val="20"/>
              </w:rPr>
              <w:t>Active (no return)</w:t>
            </w:r>
          </w:p>
          <w:p w14:paraId="1EEF8B91" w14:textId="211AC2B4" w:rsidR="004F6E4F" w:rsidRPr="00EA4E4D" w:rsidRDefault="004F6E4F" w:rsidP="00D73374">
            <w:pPr>
              <w:spacing w:line="276" w:lineRule="auto"/>
              <w:rPr>
                <w:rFonts w:ascii="Arial" w:hAnsi="Arial" w:cs="Arial"/>
                <w:sz w:val="20"/>
                <w:szCs w:val="20"/>
              </w:rPr>
            </w:pPr>
            <w:r>
              <w:rPr>
                <w:rFonts w:ascii="Arial" w:hAnsi="Arial" w:cs="Arial"/>
                <w:sz w:val="20"/>
                <w:szCs w:val="20"/>
              </w:rPr>
              <w:t>End of extraction 08.12.2029</w:t>
            </w:r>
          </w:p>
        </w:tc>
      </w:tr>
      <w:tr w:rsidR="00525E39" w:rsidRPr="00EA4E4D" w14:paraId="0B8053B7" w14:textId="77777777" w:rsidTr="00871EC2">
        <w:tc>
          <w:tcPr>
            <w:tcW w:w="1667" w:type="pct"/>
          </w:tcPr>
          <w:p w14:paraId="0152CE69" w14:textId="77777777" w:rsidR="00525E39" w:rsidRPr="00EA4E4D" w:rsidRDefault="00525E39" w:rsidP="00D73374">
            <w:pPr>
              <w:spacing w:line="276" w:lineRule="auto"/>
              <w:rPr>
                <w:rFonts w:ascii="Arial" w:hAnsi="Arial" w:cs="Arial"/>
                <w:sz w:val="20"/>
                <w:szCs w:val="20"/>
              </w:rPr>
            </w:pPr>
            <w:r w:rsidRPr="00EA4E4D">
              <w:rPr>
                <w:rFonts w:ascii="Arial" w:hAnsi="Arial" w:cs="Arial"/>
                <w:sz w:val="20"/>
                <w:szCs w:val="20"/>
              </w:rPr>
              <w:t>Old Bawtry Road Finningley</w:t>
            </w:r>
          </w:p>
        </w:tc>
        <w:tc>
          <w:tcPr>
            <w:tcW w:w="1667" w:type="pct"/>
          </w:tcPr>
          <w:p w14:paraId="60C5495D" w14:textId="77777777" w:rsidR="00525E39" w:rsidRPr="00EA4E4D" w:rsidRDefault="00525E39" w:rsidP="00D73374">
            <w:pPr>
              <w:spacing w:line="276" w:lineRule="auto"/>
              <w:rPr>
                <w:rFonts w:ascii="Arial" w:hAnsi="Arial" w:cs="Arial"/>
                <w:sz w:val="20"/>
                <w:szCs w:val="20"/>
              </w:rPr>
            </w:pPr>
            <w:r w:rsidRPr="00EA4E4D">
              <w:rPr>
                <w:rFonts w:ascii="Arial" w:hAnsi="Arial" w:cs="Arial"/>
                <w:sz w:val="20"/>
                <w:szCs w:val="20"/>
              </w:rPr>
              <w:t>Misson Sand and Gravel</w:t>
            </w:r>
          </w:p>
        </w:tc>
        <w:tc>
          <w:tcPr>
            <w:tcW w:w="1666" w:type="pct"/>
          </w:tcPr>
          <w:p w14:paraId="613B9412" w14:textId="77777777" w:rsidR="00525E39" w:rsidRPr="005C7653" w:rsidRDefault="00525E39" w:rsidP="00D73374">
            <w:pPr>
              <w:spacing w:line="276" w:lineRule="auto"/>
              <w:rPr>
                <w:rFonts w:ascii="Arial" w:hAnsi="Arial" w:cs="Arial"/>
                <w:sz w:val="20"/>
                <w:szCs w:val="20"/>
              </w:rPr>
            </w:pPr>
            <w:r w:rsidRPr="005C7653">
              <w:rPr>
                <w:rFonts w:ascii="Arial" w:hAnsi="Arial" w:cs="Arial"/>
                <w:sz w:val="20"/>
                <w:szCs w:val="20"/>
              </w:rPr>
              <w:t xml:space="preserve">Active </w:t>
            </w:r>
          </w:p>
          <w:p w14:paraId="0B9C6FF9" w14:textId="57ABE3A3" w:rsidR="00057658" w:rsidRPr="005C7653" w:rsidRDefault="00057658" w:rsidP="00D73374">
            <w:pPr>
              <w:spacing w:line="276" w:lineRule="auto"/>
              <w:rPr>
                <w:rFonts w:ascii="Arial" w:hAnsi="Arial" w:cs="Arial"/>
                <w:sz w:val="20"/>
                <w:szCs w:val="20"/>
              </w:rPr>
            </w:pPr>
            <w:r w:rsidRPr="005C7653">
              <w:rPr>
                <w:rFonts w:ascii="Arial" w:hAnsi="Arial" w:cs="Arial"/>
                <w:sz w:val="20"/>
                <w:szCs w:val="20"/>
              </w:rPr>
              <w:t>End of Permission 2029</w:t>
            </w:r>
          </w:p>
        </w:tc>
      </w:tr>
      <w:tr w:rsidR="00525E39" w:rsidRPr="00EA4E4D" w14:paraId="477143F4" w14:textId="77777777" w:rsidTr="00871EC2">
        <w:tc>
          <w:tcPr>
            <w:tcW w:w="1667" w:type="pct"/>
          </w:tcPr>
          <w:p w14:paraId="5518460E" w14:textId="77777777" w:rsidR="00525E39" w:rsidRPr="00EA4E4D" w:rsidRDefault="00525E39" w:rsidP="00D73374">
            <w:pPr>
              <w:spacing w:line="276" w:lineRule="auto"/>
              <w:rPr>
                <w:rFonts w:ascii="Arial" w:hAnsi="Arial" w:cs="Arial"/>
                <w:sz w:val="20"/>
                <w:szCs w:val="20"/>
              </w:rPr>
            </w:pPr>
            <w:r w:rsidRPr="00EA4E4D">
              <w:rPr>
                <w:rFonts w:ascii="Arial" w:hAnsi="Arial" w:cs="Arial"/>
                <w:sz w:val="20"/>
                <w:szCs w:val="20"/>
              </w:rPr>
              <w:t xml:space="preserve">Dale Pit Lakes </w:t>
            </w:r>
          </w:p>
        </w:tc>
        <w:tc>
          <w:tcPr>
            <w:tcW w:w="1667" w:type="pct"/>
          </w:tcPr>
          <w:p w14:paraId="1F44783B" w14:textId="77777777" w:rsidR="00525E39" w:rsidRPr="00EA4E4D" w:rsidRDefault="00525E39" w:rsidP="00D73374">
            <w:pPr>
              <w:spacing w:line="276" w:lineRule="auto"/>
              <w:rPr>
                <w:rFonts w:ascii="Arial" w:hAnsi="Arial" w:cs="Arial"/>
                <w:sz w:val="20"/>
                <w:szCs w:val="20"/>
              </w:rPr>
            </w:pPr>
            <w:r w:rsidRPr="00EA4E4D">
              <w:rPr>
                <w:rFonts w:ascii="Arial" w:hAnsi="Arial" w:cs="Arial"/>
                <w:sz w:val="20"/>
                <w:szCs w:val="20"/>
              </w:rPr>
              <w:t>John Holt and Sons</w:t>
            </w:r>
          </w:p>
        </w:tc>
        <w:tc>
          <w:tcPr>
            <w:tcW w:w="1666" w:type="pct"/>
          </w:tcPr>
          <w:p w14:paraId="199C421B" w14:textId="77777777" w:rsidR="00525E39" w:rsidRPr="005C7653" w:rsidRDefault="00525E39" w:rsidP="00D73374">
            <w:pPr>
              <w:spacing w:line="276" w:lineRule="auto"/>
              <w:rPr>
                <w:rFonts w:ascii="Arial" w:hAnsi="Arial" w:cs="Arial"/>
                <w:sz w:val="20"/>
                <w:szCs w:val="20"/>
              </w:rPr>
            </w:pPr>
            <w:r w:rsidRPr="005C7653">
              <w:rPr>
                <w:rFonts w:ascii="Arial" w:hAnsi="Arial" w:cs="Arial"/>
                <w:sz w:val="20"/>
                <w:szCs w:val="20"/>
              </w:rPr>
              <w:t>Active (no return)</w:t>
            </w:r>
          </w:p>
          <w:p w14:paraId="20C52D8D" w14:textId="1D6EA124" w:rsidR="00057658" w:rsidRPr="005C7653" w:rsidRDefault="005C7653" w:rsidP="00D73374">
            <w:pPr>
              <w:spacing w:line="276" w:lineRule="auto"/>
              <w:rPr>
                <w:rFonts w:ascii="Arial" w:hAnsi="Arial" w:cs="Arial"/>
                <w:sz w:val="20"/>
                <w:szCs w:val="20"/>
              </w:rPr>
            </w:pPr>
            <w:r w:rsidRPr="005C7653">
              <w:rPr>
                <w:rFonts w:ascii="Arial" w:hAnsi="Arial" w:cs="Arial"/>
                <w:sz w:val="20"/>
                <w:szCs w:val="20"/>
              </w:rPr>
              <w:t>End of Permission 2029</w:t>
            </w:r>
          </w:p>
        </w:tc>
      </w:tr>
      <w:tr w:rsidR="00525E39" w:rsidRPr="00EA4E4D" w14:paraId="200056EF" w14:textId="77777777" w:rsidTr="00871EC2">
        <w:tc>
          <w:tcPr>
            <w:tcW w:w="1667" w:type="pct"/>
          </w:tcPr>
          <w:p w14:paraId="5F48B74A" w14:textId="77777777" w:rsidR="00525E39" w:rsidRPr="00EA4E4D" w:rsidRDefault="00525E39" w:rsidP="00D73374">
            <w:pPr>
              <w:spacing w:line="276" w:lineRule="auto"/>
              <w:rPr>
                <w:rFonts w:ascii="Arial" w:hAnsi="Arial" w:cs="Arial"/>
                <w:sz w:val="20"/>
                <w:szCs w:val="20"/>
              </w:rPr>
            </w:pPr>
            <w:r w:rsidRPr="00EA4E4D">
              <w:rPr>
                <w:rFonts w:ascii="Arial" w:hAnsi="Arial" w:cs="Arial"/>
                <w:sz w:val="20"/>
                <w:szCs w:val="20"/>
              </w:rPr>
              <w:t xml:space="preserve">Wroot Road Quarry </w:t>
            </w:r>
          </w:p>
          <w:p w14:paraId="03AC6EF3" w14:textId="77777777" w:rsidR="00525E39" w:rsidRPr="00EA4E4D" w:rsidRDefault="00525E39" w:rsidP="00D73374">
            <w:pPr>
              <w:spacing w:line="276" w:lineRule="auto"/>
              <w:rPr>
                <w:rFonts w:ascii="Arial" w:hAnsi="Arial" w:cs="Arial"/>
                <w:sz w:val="20"/>
                <w:szCs w:val="20"/>
              </w:rPr>
            </w:pPr>
          </w:p>
        </w:tc>
        <w:tc>
          <w:tcPr>
            <w:tcW w:w="1667" w:type="pct"/>
          </w:tcPr>
          <w:p w14:paraId="09290452" w14:textId="77777777" w:rsidR="00525E39" w:rsidRPr="00EA4E4D" w:rsidRDefault="00525E39" w:rsidP="00D73374">
            <w:pPr>
              <w:spacing w:line="276" w:lineRule="auto"/>
              <w:rPr>
                <w:rFonts w:ascii="Arial" w:hAnsi="Arial" w:cs="Arial"/>
                <w:sz w:val="20"/>
                <w:szCs w:val="20"/>
              </w:rPr>
            </w:pPr>
            <w:r w:rsidRPr="00EA4E4D">
              <w:rPr>
                <w:rFonts w:ascii="Arial" w:hAnsi="Arial" w:cs="Arial"/>
                <w:sz w:val="20"/>
                <w:szCs w:val="20"/>
              </w:rPr>
              <w:t>Yorkshire Horticultural Ltd</w:t>
            </w:r>
          </w:p>
        </w:tc>
        <w:tc>
          <w:tcPr>
            <w:tcW w:w="1666" w:type="pct"/>
          </w:tcPr>
          <w:p w14:paraId="63B22C8C" w14:textId="77777777" w:rsidR="00871085" w:rsidRDefault="00525E39" w:rsidP="00D73374">
            <w:pPr>
              <w:spacing w:line="276" w:lineRule="auto"/>
              <w:rPr>
                <w:rFonts w:ascii="Arial" w:hAnsi="Arial" w:cs="Arial"/>
                <w:sz w:val="20"/>
                <w:szCs w:val="20"/>
              </w:rPr>
            </w:pPr>
            <w:r w:rsidRPr="00EA4E4D">
              <w:rPr>
                <w:rFonts w:ascii="Arial" w:hAnsi="Arial" w:cs="Arial"/>
                <w:sz w:val="20"/>
                <w:szCs w:val="20"/>
              </w:rPr>
              <w:t>Active (Part time) producing sand for agriculture</w:t>
            </w:r>
            <w:r w:rsidR="000A02F2">
              <w:rPr>
                <w:rFonts w:ascii="Arial" w:hAnsi="Arial" w:cs="Arial"/>
                <w:sz w:val="20"/>
                <w:szCs w:val="20"/>
              </w:rPr>
              <w:t xml:space="preserve"> </w:t>
            </w:r>
            <w:r w:rsidR="000A02F2" w:rsidRPr="00EA4E4D">
              <w:rPr>
                <w:rFonts w:ascii="Arial" w:hAnsi="Arial" w:cs="Arial"/>
                <w:sz w:val="20"/>
                <w:szCs w:val="20"/>
              </w:rPr>
              <w:t>(no return)</w:t>
            </w:r>
          </w:p>
          <w:p w14:paraId="05977F6E" w14:textId="69CA2D51" w:rsidR="00525E39" w:rsidRPr="00EA4E4D" w:rsidRDefault="00871085" w:rsidP="00D73374">
            <w:pPr>
              <w:spacing w:line="276" w:lineRule="auto"/>
              <w:rPr>
                <w:rFonts w:ascii="Arial" w:hAnsi="Arial" w:cs="Arial"/>
                <w:sz w:val="20"/>
                <w:szCs w:val="20"/>
                <w:highlight w:val="yellow"/>
              </w:rPr>
            </w:pPr>
            <w:r>
              <w:rPr>
                <w:rFonts w:ascii="Arial" w:hAnsi="Arial" w:cs="Arial"/>
                <w:sz w:val="20"/>
                <w:szCs w:val="20"/>
              </w:rPr>
              <w:t>End of P</w:t>
            </w:r>
            <w:r w:rsidR="007D2758">
              <w:rPr>
                <w:rFonts w:ascii="Arial" w:hAnsi="Arial" w:cs="Arial"/>
                <w:sz w:val="20"/>
                <w:szCs w:val="20"/>
              </w:rPr>
              <w:t>e</w:t>
            </w:r>
            <w:r>
              <w:rPr>
                <w:rFonts w:ascii="Arial" w:hAnsi="Arial" w:cs="Arial"/>
                <w:sz w:val="20"/>
                <w:szCs w:val="20"/>
              </w:rPr>
              <w:t>rmission</w:t>
            </w:r>
            <w:r w:rsidR="007D2758">
              <w:rPr>
                <w:rFonts w:ascii="Arial" w:hAnsi="Arial" w:cs="Arial"/>
                <w:sz w:val="20"/>
                <w:szCs w:val="20"/>
              </w:rPr>
              <w:t xml:space="preserve"> 22.02.2042</w:t>
            </w:r>
          </w:p>
        </w:tc>
      </w:tr>
      <w:tr w:rsidR="005A0407" w:rsidRPr="00EA4E4D" w14:paraId="6286619B" w14:textId="77777777" w:rsidTr="00871EC2">
        <w:tc>
          <w:tcPr>
            <w:tcW w:w="1667" w:type="pct"/>
          </w:tcPr>
          <w:p w14:paraId="733CCFCD" w14:textId="168083B3" w:rsidR="005A0407" w:rsidRPr="00EA4E4D" w:rsidRDefault="005A0407" w:rsidP="00D73374">
            <w:pPr>
              <w:spacing w:line="276" w:lineRule="auto"/>
              <w:rPr>
                <w:rFonts w:ascii="Arial" w:hAnsi="Arial" w:cs="Arial"/>
                <w:sz w:val="20"/>
                <w:szCs w:val="20"/>
              </w:rPr>
            </w:pPr>
            <w:r>
              <w:rPr>
                <w:rFonts w:ascii="Arial" w:hAnsi="Arial" w:cs="Arial"/>
                <w:sz w:val="20"/>
                <w:szCs w:val="20"/>
              </w:rPr>
              <w:t>Rossington Quarry</w:t>
            </w:r>
            <w:r w:rsidR="00FE5A98">
              <w:rPr>
                <w:rFonts w:ascii="Arial" w:hAnsi="Arial" w:cs="Arial"/>
                <w:sz w:val="20"/>
                <w:szCs w:val="20"/>
              </w:rPr>
              <w:t xml:space="preserve"> (new 2023)</w:t>
            </w:r>
          </w:p>
        </w:tc>
        <w:tc>
          <w:tcPr>
            <w:tcW w:w="1667" w:type="pct"/>
          </w:tcPr>
          <w:p w14:paraId="7EFCD258" w14:textId="1C88F66B" w:rsidR="005A0407" w:rsidRPr="00EA4E4D" w:rsidRDefault="005A0407" w:rsidP="00D73374">
            <w:pPr>
              <w:spacing w:line="276" w:lineRule="auto"/>
              <w:rPr>
                <w:rFonts w:ascii="Arial" w:hAnsi="Arial" w:cs="Arial"/>
                <w:sz w:val="20"/>
                <w:szCs w:val="20"/>
              </w:rPr>
            </w:pPr>
            <w:r w:rsidRPr="00EA4E4D">
              <w:rPr>
                <w:rFonts w:ascii="Arial" w:hAnsi="Arial" w:cs="Arial"/>
                <w:sz w:val="20"/>
                <w:szCs w:val="20"/>
              </w:rPr>
              <w:t>Misson Sand and Gravel</w:t>
            </w:r>
          </w:p>
        </w:tc>
        <w:tc>
          <w:tcPr>
            <w:tcW w:w="1666" w:type="pct"/>
          </w:tcPr>
          <w:p w14:paraId="292A38BE" w14:textId="77777777" w:rsidR="005A0407" w:rsidRDefault="005A0407" w:rsidP="00D73374">
            <w:pPr>
              <w:spacing w:line="276" w:lineRule="auto"/>
              <w:rPr>
                <w:rFonts w:ascii="Arial" w:hAnsi="Arial" w:cs="Arial"/>
                <w:sz w:val="20"/>
                <w:szCs w:val="20"/>
              </w:rPr>
            </w:pPr>
            <w:r w:rsidRPr="00EA4E4D">
              <w:rPr>
                <w:rFonts w:ascii="Arial" w:hAnsi="Arial" w:cs="Arial"/>
                <w:sz w:val="20"/>
                <w:szCs w:val="20"/>
              </w:rPr>
              <w:t xml:space="preserve">Active </w:t>
            </w:r>
          </w:p>
          <w:p w14:paraId="441E894F" w14:textId="55B3A904" w:rsidR="005009E8" w:rsidRPr="00EA4E4D" w:rsidRDefault="005009E8" w:rsidP="00D73374">
            <w:pPr>
              <w:spacing w:line="276" w:lineRule="auto"/>
              <w:rPr>
                <w:rFonts w:ascii="Arial" w:hAnsi="Arial" w:cs="Arial"/>
                <w:sz w:val="20"/>
                <w:szCs w:val="20"/>
              </w:rPr>
            </w:pPr>
            <w:r>
              <w:rPr>
                <w:rFonts w:ascii="Arial" w:hAnsi="Arial" w:cs="Arial"/>
                <w:sz w:val="20"/>
                <w:szCs w:val="20"/>
              </w:rPr>
              <w:t xml:space="preserve">End of Permission </w:t>
            </w:r>
            <w:r w:rsidR="00EC5F34">
              <w:rPr>
                <w:rFonts w:ascii="Arial" w:hAnsi="Arial" w:cs="Arial"/>
                <w:sz w:val="20"/>
                <w:szCs w:val="20"/>
              </w:rPr>
              <w:t>27.02.2028</w:t>
            </w:r>
          </w:p>
        </w:tc>
      </w:tr>
    </w:tbl>
    <w:p w14:paraId="4813DC9A" w14:textId="5B6A8896" w:rsidR="002670C1" w:rsidRPr="0098382B" w:rsidRDefault="00111A52" w:rsidP="00D73374">
      <w:pPr>
        <w:numPr>
          <w:ilvl w:val="0"/>
          <w:numId w:val="3"/>
        </w:numPr>
        <w:spacing w:before="240" w:after="200" w:line="276" w:lineRule="auto"/>
        <w:ind w:left="426"/>
        <w:rPr>
          <w:rFonts w:ascii="Arial" w:eastAsia="Times New Roman" w:hAnsi="Arial" w:cs="Arial"/>
        </w:rPr>
      </w:pPr>
      <w:r>
        <w:rPr>
          <w:rFonts w:ascii="Arial" w:eastAsia="Times New Roman" w:hAnsi="Arial" w:cs="Arial"/>
        </w:rPr>
        <w:t xml:space="preserve">In </w:t>
      </w:r>
      <w:r w:rsidR="000A6367">
        <w:rPr>
          <w:rFonts w:ascii="Arial" w:eastAsia="Times New Roman" w:hAnsi="Arial" w:cs="Arial"/>
        </w:rPr>
        <w:t>202</w:t>
      </w:r>
      <w:r w:rsidR="007916F0">
        <w:rPr>
          <w:rFonts w:ascii="Arial" w:eastAsia="Times New Roman" w:hAnsi="Arial" w:cs="Arial"/>
        </w:rPr>
        <w:t>3</w:t>
      </w:r>
      <w:r w:rsidR="00833898">
        <w:rPr>
          <w:rFonts w:ascii="Arial" w:eastAsia="Times New Roman" w:hAnsi="Arial" w:cs="Arial"/>
        </w:rPr>
        <w:t>,</w:t>
      </w:r>
      <w:r w:rsidR="0098382B" w:rsidRPr="0098382B">
        <w:rPr>
          <w:rFonts w:ascii="Arial" w:eastAsia="Times New Roman" w:hAnsi="Arial" w:cs="Arial"/>
        </w:rPr>
        <w:t xml:space="preserve"> the extraction of cr</w:t>
      </w:r>
      <w:r w:rsidR="00FD652F">
        <w:rPr>
          <w:rFonts w:ascii="Arial" w:eastAsia="Times New Roman" w:hAnsi="Arial" w:cs="Arial"/>
        </w:rPr>
        <w:t>ushed rock (lim</w:t>
      </w:r>
      <w:r w:rsidR="0098382B" w:rsidRPr="0098382B">
        <w:rPr>
          <w:rFonts w:ascii="Arial" w:eastAsia="Times New Roman" w:hAnsi="Arial" w:cs="Arial"/>
        </w:rPr>
        <w:t xml:space="preserve">estone) was taking place at </w:t>
      </w:r>
      <w:r w:rsidR="00A60BCB">
        <w:rPr>
          <w:rFonts w:ascii="Arial" w:eastAsia="Times New Roman" w:hAnsi="Arial" w:cs="Arial"/>
        </w:rPr>
        <w:t xml:space="preserve">6 active </w:t>
      </w:r>
      <w:r w:rsidR="0098382B" w:rsidRPr="0098382B">
        <w:rPr>
          <w:rFonts w:ascii="Arial" w:eastAsia="Times New Roman" w:hAnsi="Arial" w:cs="Arial"/>
        </w:rPr>
        <w:t>sit</w:t>
      </w:r>
      <w:r w:rsidR="006E3C47">
        <w:rPr>
          <w:rFonts w:ascii="Arial" w:eastAsia="Times New Roman" w:hAnsi="Arial" w:cs="Arial"/>
        </w:rPr>
        <w:t xml:space="preserve">es identified in table </w:t>
      </w:r>
      <w:r w:rsidR="00361F23">
        <w:rPr>
          <w:rFonts w:ascii="Arial" w:eastAsia="Times New Roman" w:hAnsi="Arial" w:cs="Arial"/>
        </w:rPr>
        <w:t>2</w:t>
      </w:r>
      <w:r w:rsidR="006E3C47">
        <w:rPr>
          <w:rFonts w:ascii="Arial" w:eastAsia="Times New Roman" w:hAnsi="Arial" w:cs="Arial"/>
        </w:rPr>
        <w:t xml:space="preserve"> below.</w:t>
      </w:r>
      <w:r w:rsidR="00A60BCB">
        <w:rPr>
          <w:rFonts w:ascii="Arial" w:eastAsia="Times New Roman" w:hAnsi="Arial" w:cs="Arial"/>
        </w:rPr>
        <w:t xml:space="preserve"> </w:t>
      </w:r>
      <w:r w:rsidR="007C153E">
        <w:rPr>
          <w:rFonts w:ascii="Arial" w:eastAsia="Times New Roman" w:hAnsi="Arial" w:cs="Arial"/>
        </w:rPr>
        <w:t>Note, Cadeby Quarry is active for dimension stone</w:t>
      </w:r>
      <w:r w:rsidR="00D13B48">
        <w:rPr>
          <w:rFonts w:ascii="Arial" w:eastAsia="Times New Roman" w:hAnsi="Arial" w:cs="Arial"/>
        </w:rPr>
        <w:t xml:space="preserve"> only</w:t>
      </w:r>
      <w:r w:rsidR="00A52FDE">
        <w:rPr>
          <w:rFonts w:ascii="Arial" w:eastAsia="Times New Roman" w:hAnsi="Arial" w:cs="Arial"/>
        </w:rPr>
        <w:t xml:space="preserve"> not </w:t>
      </w:r>
      <w:r w:rsidR="00D13B48">
        <w:rPr>
          <w:rFonts w:ascii="Arial" w:eastAsia="Times New Roman" w:hAnsi="Arial" w:cs="Arial"/>
        </w:rPr>
        <w:t>aggregate</w:t>
      </w:r>
      <w:r w:rsidR="007C153E">
        <w:rPr>
          <w:rFonts w:ascii="Arial" w:eastAsia="Times New Roman" w:hAnsi="Arial" w:cs="Arial"/>
        </w:rPr>
        <w:t>.</w:t>
      </w:r>
    </w:p>
    <w:p w14:paraId="3D02C840" w14:textId="1AEB492A" w:rsidR="00F74F9E" w:rsidRPr="00F74F9E" w:rsidRDefault="00F74F9E" w:rsidP="00D73374">
      <w:pPr>
        <w:pStyle w:val="Sub-heading"/>
        <w:spacing w:line="276" w:lineRule="auto"/>
        <w:jc w:val="left"/>
        <w:outlineLvl w:val="1"/>
        <w:rPr>
          <w:color w:val="auto"/>
          <w:sz w:val="22"/>
          <w:szCs w:val="22"/>
        </w:rPr>
      </w:pPr>
      <w:bookmarkStart w:id="8" w:name="_Toc473105756"/>
      <w:bookmarkStart w:id="9" w:name="_Toc500147128"/>
      <w:bookmarkStart w:id="10" w:name="_Toc522792102"/>
      <w:bookmarkStart w:id="11" w:name="_Toc198549797"/>
      <w:r w:rsidRPr="006D0F66">
        <w:rPr>
          <w:color w:val="auto"/>
          <w:sz w:val="22"/>
          <w:szCs w:val="22"/>
        </w:rPr>
        <w:t>Table 2</w:t>
      </w:r>
      <w:r w:rsidR="006277C1" w:rsidRPr="006D0F66">
        <w:rPr>
          <w:color w:val="auto"/>
          <w:sz w:val="22"/>
          <w:szCs w:val="22"/>
        </w:rPr>
        <w:t>.</w:t>
      </w:r>
      <w:r w:rsidR="0098382B" w:rsidRPr="006D0F66">
        <w:rPr>
          <w:color w:val="auto"/>
          <w:sz w:val="22"/>
          <w:szCs w:val="22"/>
        </w:rPr>
        <w:t xml:space="preserve"> Limestone </w:t>
      </w:r>
      <w:r w:rsidRPr="006D0F66">
        <w:rPr>
          <w:color w:val="auto"/>
          <w:sz w:val="22"/>
          <w:szCs w:val="22"/>
        </w:rPr>
        <w:t xml:space="preserve">Quarries Doncaster and Rotherham </w:t>
      </w:r>
      <w:bookmarkEnd w:id="8"/>
      <w:bookmarkEnd w:id="9"/>
      <w:bookmarkEnd w:id="10"/>
      <w:r w:rsidR="000A6367" w:rsidRPr="006D0F66">
        <w:rPr>
          <w:color w:val="auto"/>
          <w:sz w:val="22"/>
          <w:szCs w:val="22"/>
        </w:rPr>
        <w:t>202</w:t>
      </w:r>
      <w:r w:rsidR="006D0F66" w:rsidRPr="006D0F66">
        <w:rPr>
          <w:color w:val="auto"/>
          <w:sz w:val="22"/>
          <w:szCs w:val="22"/>
        </w:rPr>
        <w:t>3</w:t>
      </w:r>
      <w:bookmarkEnd w:id="1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20" w:type="dxa"/>
          <w:right w:w="120" w:type="dxa"/>
        </w:tblCellMar>
        <w:tblLook w:val="0000" w:firstRow="0" w:lastRow="0" w:firstColumn="0" w:lastColumn="0" w:noHBand="0" w:noVBand="0"/>
        <w:tblCaption w:val="Doncaster and Rotherham Limestone Quarries Table"/>
        <w:tblDescription w:val="Doncaster and Rotherham Limestone Quarries Table"/>
      </w:tblPr>
      <w:tblGrid>
        <w:gridCol w:w="3428"/>
        <w:gridCol w:w="2587"/>
        <w:gridCol w:w="3005"/>
      </w:tblGrid>
      <w:tr w:rsidR="00F74F9E" w:rsidRPr="00EA4E4D" w14:paraId="7BE31E99" w14:textId="77777777" w:rsidTr="005C4CAD">
        <w:trPr>
          <w:tblHeader/>
        </w:trPr>
        <w:tc>
          <w:tcPr>
            <w:tcW w:w="1900" w:type="pct"/>
            <w:shd w:val="clear" w:color="auto" w:fill="F2F2F2" w:themeFill="background1" w:themeFillShade="F2"/>
          </w:tcPr>
          <w:p w14:paraId="2EC923F4" w14:textId="77777777" w:rsidR="00F74F9E" w:rsidRPr="00EA4E4D" w:rsidRDefault="00F74F9E" w:rsidP="00D73374">
            <w:pPr>
              <w:spacing w:line="276" w:lineRule="auto"/>
              <w:rPr>
                <w:rFonts w:ascii="Arial" w:hAnsi="Arial" w:cs="Arial"/>
                <w:b/>
                <w:sz w:val="20"/>
                <w:szCs w:val="20"/>
              </w:rPr>
            </w:pPr>
            <w:r w:rsidRPr="00EA4E4D">
              <w:rPr>
                <w:rFonts w:ascii="Arial" w:hAnsi="Arial" w:cs="Arial"/>
                <w:b/>
                <w:sz w:val="20"/>
                <w:szCs w:val="20"/>
              </w:rPr>
              <w:t xml:space="preserve">Quarry Name </w:t>
            </w:r>
          </w:p>
        </w:tc>
        <w:tc>
          <w:tcPr>
            <w:tcW w:w="1434" w:type="pct"/>
            <w:shd w:val="clear" w:color="auto" w:fill="F2F2F2" w:themeFill="background1" w:themeFillShade="F2"/>
          </w:tcPr>
          <w:p w14:paraId="75752646" w14:textId="77777777" w:rsidR="00F74F9E" w:rsidRPr="00EA4E4D" w:rsidRDefault="00F74F9E" w:rsidP="00D73374">
            <w:pPr>
              <w:spacing w:line="276" w:lineRule="auto"/>
              <w:rPr>
                <w:rFonts w:ascii="Arial" w:hAnsi="Arial" w:cs="Arial"/>
                <w:b/>
                <w:sz w:val="20"/>
                <w:szCs w:val="20"/>
              </w:rPr>
            </w:pPr>
            <w:r w:rsidRPr="00EA4E4D">
              <w:rPr>
                <w:rFonts w:ascii="Arial" w:hAnsi="Arial" w:cs="Arial"/>
                <w:b/>
                <w:sz w:val="20"/>
                <w:szCs w:val="20"/>
              </w:rPr>
              <w:t>Owner / Operator</w:t>
            </w:r>
          </w:p>
        </w:tc>
        <w:tc>
          <w:tcPr>
            <w:tcW w:w="1666" w:type="pct"/>
            <w:shd w:val="clear" w:color="auto" w:fill="F2F2F2" w:themeFill="background1" w:themeFillShade="F2"/>
          </w:tcPr>
          <w:p w14:paraId="2A4A3515" w14:textId="1F4E4EC7" w:rsidR="00F74F9E" w:rsidRPr="00EA4E4D" w:rsidRDefault="00111A52" w:rsidP="00D73374">
            <w:pPr>
              <w:spacing w:line="276" w:lineRule="auto"/>
              <w:rPr>
                <w:rFonts w:ascii="Arial" w:hAnsi="Arial" w:cs="Arial"/>
                <w:b/>
                <w:sz w:val="20"/>
                <w:szCs w:val="20"/>
              </w:rPr>
            </w:pPr>
            <w:r w:rsidRPr="00EA4E4D">
              <w:rPr>
                <w:rFonts w:ascii="Arial" w:hAnsi="Arial" w:cs="Arial"/>
                <w:b/>
                <w:sz w:val="20"/>
                <w:szCs w:val="20"/>
              </w:rPr>
              <w:t>Status (</w:t>
            </w:r>
            <w:r w:rsidR="000A6367">
              <w:rPr>
                <w:rFonts w:ascii="Arial" w:hAnsi="Arial" w:cs="Arial"/>
                <w:b/>
                <w:sz w:val="20"/>
                <w:szCs w:val="20"/>
              </w:rPr>
              <w:t>202</w:t>
            </w:r>
            <w:r w:rsidR="006D0F66">
              <w:rPr>
                <w:rFonts w:ascii="Arial" w:hAnsi="Arial" w:cs="Arial"/>
                <w:b/>
                <w:sz w:val="20"/>
                <w:szCs w:val="20"/>
              </w:rPr>
              <w:t>3</w:t>
            </w:r>
            <w:r w:rsidR="00F74F9E" w:rsidRPr="00EA4E4D">
              <w:rPr>
                <w:rFonts w:ascii="Arial" w:hAnsi="Arial" w:cs="Arial"/>
                <w:b/>
                <w:sz w:val="20"/>
                <w:szCs w:val="20"/>
              </w:rPr>
              <w:t>)</w:t>
            </w:r>
          </w:p>
        </w:tc>
      </w:tr>
      <w:tr w:rsidR="0098382B" w:rsidRPr="00EA4E4D" w14:paraId="675CC9A9" w14:textId="77777777" w:rsidTr="005C4CAD">
        <w:trPr>
          <w:tblHeader/>
        </w:trPr>
        <w:tc>
          <w:tcPr>
            <w:tcW w:w="1900" w:type="pct"/>
          </w:tcPr>
          <w:p w14:paraId="5319C7B8" w14:textId="567E37E6" w:rsidR="0098382B" w:rsidRPr="00EA4E4D" w:rsidRDefault="0098382B" w:rsidP="00D73374">
            <w:pPr>
              <w:spacing w:line="276" w:lineRule="auto"/>
              <w:rPr>
                <w:rFonts w:ascii="Arial" w:hAnsi="Arial" w:cs="Arial"/>
                <w:sz w:val="20"/>
                <w:szCs w:val="20"/>
              </w:rPr>
            </w:pPr>
            <w:r w:rsidRPr="00EA4E4D">
              <w:rPr>
                <w:rFonts w:ascii="Arial" w:hAnsi="Arial" w:cs="Arial"/>
                <w:sz w:val="20"/>
                <w:szCs w:val="20"/>
              </w:rPr>
              <w:t>Glen Quarry</w:t>
            </w:r>
            <w:r w:rsidR="00E96E70" w:rsidRPr="00EA4E4D">
              <w:rPr>
                <w:rStyle w:val="FootnoteReference"/>
                <w:rFonts w:ascii="Arial" w:hAnsi="Arial" w:cs="Arial"/>
                <w:sz w:val="20"/>
                <w:szCs w:val="20"/>
              </w:rPr>
              <w:footnoteReference w:id="5"/>
            </w:r>
            <w:r w:rsidRPr="00EA4E4D">
              <w:rPr>
                <w:rFonts w:ascii="Arial" w:hAnsi="Arial" w:cs="Arial"/>
                <w:sz w:val="20"/>
                <w:szCs w:val="20"/>
              </w:rPr>
              <w:t xml:space="preserve"> (Stainton)</w:t>
            </w:r>
          </w:p>
        </w:tc>
        <w:tc>
          <w:tcPr>
            <w:tcW w:w="1434" w:type="pct"/>
          </w:tcPr>
          <w:p w14:paraId="1F0FCCAA" w14:textId="77777777" w:rsidR="0098382B" w:rsidRPr="00EA4E4D" w:rsidRDefault="0098382B" w:rsidP="00D73374">
            <w:pPr>
              <w:spacing w:line="276" w:lineRule="auto"/>
              <w:rPr>
                <w:rFonts w:ascii="Arial" w:hAnsi="Arial" w:cs="Arial"/>
                <w:sz w:val="20"/>
                <w:szCs w:val="20"/>
              </w:rPr>
            </w:pPr>
            <w:r w:rsidRPr="00EA4E4D">
              <w:rPr>
                <w:rFonts w:ascii="Arial" w:hAnsi="Arial" w:cs="Arial"/>
                <w:sz w:val="20"/>
                <w:szCs w:val="20"/>
              </w:rPr>
              <w:t>Marshalls Natural Stone</w:t>
            </w:r>
          </w:p>
        </w:tc>
        <w:tc>
          <w:tcPr>
            <w:tcW w:w="1666" w:type="pct"/>
          </w:tcPr>
          <w:p w14:paraId="7C8CFFB7" w14:textId="77777777" w:rsidR="0098382B" w:rsidRDefault="0098382B" w:rsidP="00D73374">
            <w:pPr>
              <w:spacing w:line="276" w:lineRule="auto"/>
              <w:rPr>
                <w:rFonts w:ascii="Arial" w:hAnsi="Arial" w:cs="Arial"/>
                <w:sz w:val="20"/>
                <w:szCs w:val="20"/>
              </w:rPr>
            </w:pPr>
            <w:r w:rsidRPr="00EA4E4D">
              <w:rPr>
                <w:rFonts w:ascii="Arial" w:hAnsi="Arial" w:cs="Arial"/>
                <w:sz w:val="20"/>
                <w:szCs w:val="20"/>
              </w:rPr>
              <w:t>Active</w:t>
            </w:r>
          </w:p>
          <w:p w14:paraId="3C2B6209" w14:textId="53DFC40F" w:rsidR="00EC5F34" w:rsidRPr="00EA4E4D" w:rsidRDefault="00EC5F34" w:rsidP="00D73374">
            <w:pPr>
              <w:spacing w:line="276" w:lineRule="auto"/>
              <w:rPr>
                <w:rFonts w:ascii="Arial" w:hAnsi="Arial" w:cs="Arial"/>
                <w:sz w:val="20"/>
                <w:szCs w:val="20"/>
              </w:rPr>
            </w:pPr>
            <w:r>
              <w:rPr>
                <w:rFonts w:ascii="Arial" w:hAnsi="Arial" w:cs="Arial"/>
                <w:sz w:val="20"/>
                <w:szCs w:val="20"/>
              </w:rPr>
              <w:t>End of Permission</w:t>
            </w:r>
            <w:r w:rsidR="00634C4F">
              <w:rPr>
                <w:rFonts w:ascii="Arial" w:hAnsi="Arial" w:cs="Arial"/>
                <w:sz w:val="20"/>
                <w:szCs w:val="20"/>
              </w:rPr>
              <w:t xml:space="preserve"> 11.06.2035</w:t>
            </w:r>
          </w:p>
        </w:tc>
      </w:tr>
      <w:tr w:rsidR="0098382B" w:rsidRPr="00EA4E4D" w14:paraId="7A3A3373" w14:textId="77777777" w:rsidTr="005C4CAD">
        <w:trPr>
          <w:tblHeader/>
        </w:trPr>
        <w:tc>
          <w:tcPr>
            <w:tcW w:w="1900" w:type="pct"/>
            <w:shd w:val="clear" w:color="auto" w:fill="auto"/>
          </w:tcPr>
          <w:p w14:paraId="6DB142CA" w14:textId="77777777" w:rsidR="0098382B" w:rsidRPr="00EA4E4D" w:rsidRDefault="0098382B" w:rsidP="00D73374">
            <w:pPr>
              <w:spacing w:line="276" w:lineRule="auto"/>
              <w:rPr>
                <w:rFonts w:ascii="Arial" w:hAnsi="Arial" w:cs="Arial"/>
                <w:sz w:val="20"/>
                <w:szCs w:val="20"/>
              </w:rPr>
            </w:pPr>
            <w:r w:rsidRPr="00EA4E4D">
              <w:rPr>
                <w:rFonts w:ascii="Arial" w:hAnsi="Arial" w:cs="Arial"/>
                <w:sz w:val="20"/>
                <w:szCs w:val="20"/>
              </w:rPr>
              <w:t xml:space="preserve">Holme Hall Quarry (Stainton) </w:t>
            </w:r>
          </w:p>
        </w:tc>
        <w:tc>
          <w:tcPr>
            <w:tcW w:w="1434" w:type="pct"/>
            <w:shd w:val="clear" w:color="auto" w:fill="auto"/>
          </w:tcPr>
          <w:p w14:paraId="445C3CE3" w14:textId="77777777" w:rsidR="0098382B" w:rsidRPr="00EA4E4D" w:rsidRDefault="0098382B" w:rsidP="00D73374">
            <w:pPr>
              <w:spacing w:line="276" w:lineRule="auto"/>
              <w:rPr>
                <w:rFonts w:ascii="Arial" w:hAnsi="Arial" w:cs="Arial"/>
                <w:sz w:val="20"/>
                <w:szCs w:val="20"/>
              </w:rPr>
            </w:pPr>
            <w:r w:rsidRPr="00EA4E4D">
              <w:rPr>
                <w:rFonts w:ascii="Arial" w:hAnsi="Arial" w:cs="Arial"/>
                <w:sz w:val="20"/>
                <w:szCs w:val="20"/>
              </w:rPr>
              <w:t xml:space="preserve">Breedon Aggregates </w:t>
            </w:r>
          </w:p>
        </w:tc>
        <w:tc>
          <w:tcPr>
            <w:tcW w:w="1666" w:type="pct"/>
            <w:shd w:val="clear" w:color="auto" w:fill="auto"/>
          </w:tcPr>
          <w:p w14:paraId="24ACF395" w14:textId="77777777" w:rsidR="0098382B" w:rsidRDefault="0098382B" w:rsidP="00D73374">
            <w:pPr>
              <w:spacing w:line="276" w:lineRule="auto"/>
              <w:rPr>
                <w:rFonts w:ascii="Arial" w:hAnsi="Arial" w:cs="Arial"/>
                <w:sz w:val="20"/>
                <w:szCs w:val="20"/>
              </w:rPr>
            </w:pPr>
            <w:r w:rsidRPr="00EA4E4D">
              <w:rPr>
                <w:rFonts w:ascii="Arial" w:hAnsi="Arial" w:cs="Arial"/>
                <w:sz w:val="20"/>
                <w:szCs w:val="20"/>
              </w:rPr>
              <w:t xml:space="preserve">Active </w:t>
            </w:r>
          </w:p>
          <w:p w14:paraId="2198B3E6" w14:textId="43892750" w:rsidR="00EC5F34" w:rsidRPr="00EA4E4D" w:rsidRDefault="00EC5F34" w:rsidP="00D73374">
            <w:pPr>
              <w:spacing w:line="276" w:lineRule="auto"/>
              <w:rPr>
                <w:rFonts w:ascii="Arial" w:hAnsi="Arial" w:cs="Arial"/>
                <w:sz w:val="20"/>
                <w:szCs w:val="20"/>
              </w:rPr>
            </w:pPr>
            <w:r>
              <w:rPr>
                <w:rFonts w:ascii="Arial" w:hAnsi="Arial" w:cs="Arial"/>
                <w:sz w:val="20"/>
                <w:szCs w:val="20"/>
              </w:rPr>
              <w:t>End of Permission</w:t>
            </w:r>
            <w:r w:rsidR="00634C4F">
              <w:rPr>
                <w:rFonts w:ascii="Arial" w:hAnsi="Arial" w:cs="Arial"/>
                <w:sz w:val="20"/>
                <w:szCs w:val="20"/>
              </w:rPr>
              <w:t xml:space="preserve"> 11.06.2035</w:t>
            </w:r>
          </w:p>
        </w:tc>
      </w:tr>
      <w:tr w:rsidR="0098382B" w:rsidRPr="00EA4E4D" w14:paraId="452EC521" w14:textId="77777777" w:rsidTr="005C4CAD">
        <w:trPr>
          <w:tblHeader/>
        </w:trPr>
        <w:tc>
          <w:tcPr>
            <w:tcW w:w="1900" w:type="pct"/>
            <w:shd w:val="clear" w:color="auto" w:fill="auto"/>
          </w:tcPr>
          <w:p w14:paraId="0370B0FE" w14:textId="77777777" w:rsidR="00D2027C" w:rsidRPr="00D8375E" w:rsidRDefault="0098382B" w:rsidP="00D73374">
            <w:pPr>
              <w:spacing w:line="276" w:lineRule="auto"/>
              <w:rPr>
                <w:rFonts w:ascii="Arial" w:hAnsi="Arial" w:cs="Arial"/>
                <w:color w:val="808080" w:themeColor="background1" w:themeShade="80"/>
                <w:sz w:val="20"/>
                <w:szCs w:val="20"/>
              </w:rPr>
            </w:pPr>
            <w:r w:rsidRPr="00D8375E">
              <w:rPr>
                <w:rFonts w:ascii="Arial" w:hAnsi="Arial" w:cs="Arial"/>
                <w:color w:val="808080" w:themeColor="background1" w:themeShade="80"/>
                <w:sz w:val="20"/>
                <w:szCs w:val="20"/>
              </w:rPr>
              <w:t xml:space="preserve">Barnsdale Bar </w:t>
            </w:r>
          </w:p>
          <w:p w14:paraId="25D4CC1F" w14:textId="7A009568" w:rsidR="0098382B" w:rsidRPr="00D8375E" w:rsidRDefault="00D2027C" w:rsidP="00D73374">
            <w:pPr>
              <w:spacing w:line="276" w:lineRule="auto"/>
              <w:rPr>
                <w:rFonts w:ascii="Arial" w:hAnsi="Arial" w:cs="Arial"/>
                <w:color w:val="808080" w:themeColor="background1" w:themeShade="80"/>
                <w:sz w:val="20"/>
                <w:szCs w:val="20"/>
              </w:rPr>
            </w:pPr>
            <w:r w:rsidRPr="00D8375E">
              <w:rPr>
                <w:rFonts w:ascii="Arial" w:hAnsi="Arial" w:cs="Arial"/>
                <w:color w:val="808080" w:themeColor="background1" w:themeShade="80"/>
                <w:sz w:val="20"/>
                <w:szCs w:val="20"/>
              </w:rPr>
              <w:t>(Part in Doncaster)</w:t>
            </w:r>
          </w:p>
        </w:tc>
        <w:tc>
          <w:tcPr>
            <w:tcW w:w="1434" w:type="pct"/>
            <w:shd w:val="clear" w:color="auto" w:fill="auto"/>
          </w:tcPr>
          <w:p w14:paraId="6FA79926" w14:textId="77777777" w:rsidR="0098382B" w:rsidRPr="00D8375E" w:rsidRDefault="0098382B" w:rsidP="00D73374">
            <w:pPr>
              <w:spacing w:line="276" w:lineRule="auto"/>
              <w:rPr>
                <w:rFonts w:ascii="Arial" w:hAnsi="Arial" w:cs="Arial"/>
                <w:color w:val="808080" w:themeColor="background1" w:themeShade="80"/>
                <w:sz w:val="20"/>
                <w:szCs w:val="20"/>
              </w:rPr>
            </w:pPr>
            <w:proofErr w:type="spellStart"/>
            <w:r w:rsidRPr="00D8375E">
              <w:rPr>
                <w:rFonts w:ascii="Arial" w:hAnsi="Arial" w:cs="Arial"/>
                <w:color w:val="808080" w:themeColor="background1" w:themeShade="80"/>
                <w:sz w:val="20"/>
                <w:szCs w:val="20"/>
              </w:rPr>
              <w:t>Darrington</w:t>
            </w:r>
            <w:proofErr w:type="spellEnd"/>
            <w:r w:rsidRPr="00D8375E">
              <w:rPr>
                <w:rFonts w:ascii="Arial" w:hAnsi="Arial" w:cs="Arial"/>
                <w:color w:val="808080" w:themeColor="background1" w:themeShade="80"/>
                <w:sz w:val="20"/>
                <w:szCs w:val="20"/>
              </w:rPr>
              <w:t xml:space="preserve"> Quarries</w:t>
            </w:r>
          </w:p>
        </w:tc>
        <w:tc>
          <w:tcPr>
            <w:tcW w:w="1666" w:type="pct"/>
            <w:shd w:val="clear" w:color="auto" w:fill="auto"/>
          </w:tcPr>
          <w:p w14:paraId="0BAB497C" w14:textId="6FEC2E8B" w:rsidR="00EC5F34" w:rsidRPr="00D8375E" w:rsidRDefault="0098382B" w:rsidP="00FD5FB9">
            <w:pPr>
              <w:spacing w:line="276" w:lineRule="auto"/>
              <w:rPr>
                <w:rFonts w:ascii="Arial" w:hAnsi="Arial" w:cs="Arial"/>
                <w:color w:val="808080" w:themeColor="background1" w:themeShade="80"/>
                <w:sz w:val="20"/>
                <w:szCs w:val="20"/>
              </w:rPr>
            </w:pPr>
            <w:r w:rsidRPr="00D8375E">
              <w:rPr>
                <w:rFonts w:ascii="Arial" w:hAnsi="Arial" w:cs="Arial"/>
                <w:color w:val="808080" w:themeColor="background1" w:themeShade="80"/>
                <w:sz w:val="20"/>
                <w:szCs w:val="20"/>
              </w:rPr>
              <w:t>Active until 2028 (North Yorkshire)</w:t>
            </w:r>
          </w:p>
        </w:tc>
      </w:tr>
      <w:tr w:rsidR="0098382B" w:rsidRPr="00EA4E4D" w14:paraId="0D9CC9C6" w14:textId="77777777" w:rsidTr="005C4CAD">
        <w:trPr>
          <w:tblHeader/>
        </w:trPr>
        <w:tc>
          <w:tcPr>
            <w:tcW w:w="1900" w:type="pct"/>
          </w:tcPr>
          <w:p w14:paraId="2E4D6DD6" w14:textId="77777777" w:rsidR="0098382B" w:rsidRPr="00EA4E4D" w:rsidRDefault="0098382B" w:rsidP="00D73374">
            <w:pPr>
              <w:spacing w:line="276" w:lineRule="auto"/>
              <w:rPr>
                <w:rFonts w:ascii="Arial" w:hAnsi="Arial" w:cs="Arial"/>
                <w:color w:val="808080" w:themeColor="background1" w:themeShade="80"/>
                <w:sz w:val="20"/>
                <w:szCs w:val="20"/>
              </w:rPr>
            </w:pPr>
            <w:r w:rsidRPr="00EA4E4D">
              <w:rPr>
                <w:rFonts w:ascii="Arial" w:hAnsi="Arial" w:cs="Arial"/>
                <w:color w:val="808080" w:themeColor="background1" w:themeShade="80"/>
                <w:sz w:val="20"/>
                <w:szCs w:val="20"/>
              </w:rPr>
              <w:t xml:space="preserve">Sutton Field Quarry </w:t>
            </w:r>
          </w:p>
        </w:tc>
        <w:tc>
          <w:tcPr>
            <w:tcW w:w="1434" w:type="pct"/>
          </w:tcPr>
          <w:p w14:paraId="6B7B8554" w14:textId="77777777" w:rsidR="0098382B" w:rsidRPr="00EA4E4D" w:rsidRDefault="0098382B" w:rsidP="00D73374">
            <w:pPr>
              <w:spacing w:line="276" w:lineRule="auto"/>
              <w:rPr>
                <w:rFonts w:ascii="Arial" w:hAnsi="Arial" w:cs="Arial"/>
                <w:color w:val="808080" w:themeColor="background1" w:themeShade="80"/>
                <w:sz w:val="20"/>
                <w:szCs w:val="20"/>
              </w:rPr>
            </w:pPr>
            <w:proofErr w:type="spellStart"/>
            <w:r w:rsidRPr="00EA4E4D">
              <w:rPr>
                <w:rFonts w:ascii="Arial" w:hAnsi="Arial" w:cs="Arial"/>
                <w:color w:val="808080" w:themeColor="background1" w:themeShade="80"/>
                <w:sz w:val="20"/>
                <w:szCs w:val="20"/>
              </w:rPr>
              <w:t>Darrington</w:t>
            </w:r>
            <w:proofErr w:type="spellEnd"/>
            <w:r w:rsidRPr="00EA4E4D">
              <w:rPr>
                <w:rFonts w:ascii="Arial" w:hAnsi="Arial" w:cs="Arial"/>
                <w:color w:val="808080" w:themeColor="background1" w:themeShade="80"/>
                <w:sz w:val="20"/>
                <w:szCs w:val="20"/>
              </w:rPr>
              <w:t xml:space="preserve"> Quarries</w:t>
            </w:r>
          </w:p>
        </w:tc>
        <w:tc>
          <w:tcPr>
            <w:tcW w:w="1666" w:type="pct"/>
          </w:tcPr>
          <w:p w14:paraId="7CB6D881" w14:textId="77777777" w:rsidR="0098382B" w:rsidRPr="00EA4E4D" w:rsidRDefault="0098382B" w:rsidP="00D73374">
            <w:pPr>
              <w:spacing w:line="276" w:lineRule="auto"/>
              <w:rPr>
                <w:rFonts w:ascii="Arial" w:hAnsi="Arial" w:cs="Arial"/>
                <w:color w:val="808080" w:themeColor="background1" w:themeShade="80"/>
                <w:sz w:val="20"/>
                <w:szCs w:val="20"/>
              </w:rPr>
            </w:pPr>
            <w:r w:rsidRPr="00EA4E4D">
              <w:rPr>
                <w:rFonts w:ascii="Arial" w:hAnsi="Arial" w:cs="Arial"/>
                <w:color w:val="808080" w:themeColor="background1" w:themeShade="80"/>
                <w:sz w:val="20"/>
                <w:szCs w:val="20"/>
              </w:rPr>
              <w:t>Awaiting restoration</w:t>
            </w:r>
          </w:p>
        </w:tc>
      </w:tr>
      <w:tr w:rsidR="0098382B" w:rsidRPr="00EA4E4D" w14:paraId="7620DC8A" w14:textId="77777777" w:rsidTr="005C4CAD">
        <w:trPr>
          <w:tblHeader/>
        </w:trPr>
        <w:tc>
          <w:tcPr>
            <w:tcW w:w="1900" w:type="pct"/>
          </w:tcPr>
          <w:p w14:paraId="52F55C9D" w14:textId="77777777" w:rsidR="0098382B" w:rsidRPr="00EA4E4D" w:rsidRDefault="0098382B" w:rsidP="00D73374">
            <w:pPr>
              <w:spacing w:line="276" w:lineRule="auto"/>
              <w:rPr>
                <w:rFonts w:ascii="Arial" w:hAnsi="Arial" w:cs="Arial"/>
                <w:sz w:val="20"/>
                <w:szCs w:val="20"/>
              </w:rPr>
            </w:pPr>
            <w:proofErr w:type="spellStart"/>
            <w:r w:rsidRPr="00EA4E4D">
              <w:rPr>
                <w:rFonts w:ascii="Arial" w:hAnsi="Arial" w:cs="Arial"/>
                <w:sz w:val="20"/>
                <w:szCs w:val="20"/>
              </w:rPr>
              <w:t>Harrycroft</w:t>
            </w:r>
            <w:proofErr w:type="spellEnd"/>
            <w:r w:rsidRPr="00EA4E4D">
              <w:rPr>
                <w:rFonts w:ascii="Arial" w:hAnsi="Arial" w:cs="Arial"/>
                <w:sz w:val="20"/>
                <w:szCs w:val="20"/>
              </w:rPr>
              <w:t xml:space="preserve"> Quarry (Rotherham)</w:t>
            </w:r>
          </w:p>
        </w:tc>
        <w:tc>
          <w:tcPr>
            <w:tcW w:w="1434" w:type="pct"/>
          </w:tcPr>
          <w:p w14:paraId="29EEC8E8" w14:textId="77777777" w:rsidR="0098382B" w:rsidRPr="00EA4E4D" w:rsidRDefault="0098382B" w:rsidP="00D73374">
            <w:pPr>
              <w:spacing w:line="276" w:lineRule="auto"/>
              <w:rPr>
                <w:rFonts w:ascii="Arial" w:hAnsi="Arial" w:cs="Arial"/>
                <w:sz w:val="20"/>
                <w:szCs w:val="20"/>
              </w:rPr>
            </w:pPr>
            <w:r w:rsidRPr="00EA4E4D">
              <w:rPr>
                <w:rFonts w:ascii="Arial" w:hAnsi="Arial" w:cs="Arial"/>
                <w:sz w:val="20"/>
                <w:szCs w:val="20"/>
              </w:rPr>
              <w:t>Tarmac</w:t>
            </w:r>
          </w:p>
        </w:tc>
        <w:tc>
          <w:tcPr>
            <w:tcW w:w="1666" w:type="pct"/>
          </w:tcPr>
          <w:p w14:paraId="489E25E7" w14:textId="366C5D86" w:rsidR="00EC5F34" w:rsidRPr="00EA4E4D" w:rsidRDefault="00111A52" w:rsidP="00D73374">
            <w:pPr>
              <w:spacing w:line="276" w:lineRule="auto"/>
              <w:rPr>
                <w:rFonts w:ascii="Arial" w:hAnsi="Arial" w:cs="Arial"/>
                <w:sz w:val="20"/>
                <w:szCs w:val="20"/>
              </w:rPr>
            </w:pPr>
            <w:r w:rsidRPr="00EA4E4D">
              <w:rPr>
                <w:rFonts w:ascii="Arial" w:hAnsi="Arial" w:cs="Arial"/>
                <w:sz w:val="20"/>
                <w:szCs w:val="20"/>
              </w:rPr>
              <w:t>I</w:t>
            </w:r>
            <w:r w:rsidR="0098382B" w:rsidRPr="00EA4E4D">
              <w:rPr>
                <w:rFonts w:ascii="Arial" w:hAnsi="Arial" w:cs="Arial"/>
                <w:sz w:val="20"/>
                <w:szCs w:val="20"/>
              </w:rPr>
              <w:t>nactive (</w:t>
            </w:r>
            <w:r w:rsidR="00EA4E4D" w:rsidRPr="00EA4E4D">
              <w:rPr>
                <w:rFonts w:ascii="Arial" w:hAnsi="Arial" w:cs="Arial"/>
                <w:sz w:val="20"/>
                <w:szCs w:val="20"/>
              </w:rPr>
              <w:t>p</w:t>
            </w:r>
            <w:r w:rsidR="0098382B" w:rsidRPr="00EA4E4D">
              <w:rPr>
                <w:rFonts w:ascii="Arial" w:hAnsi="Arial" w:cs="Arial"/>
                <w:sz w:val="20"/>
                <w:szCs w:val="20"/>
              </w:rPr>
              <w:t>ermission granted until 31 December 2031)</w:t>
            </w:r>
          </w:p>
        </w:tc>
      </w:tr>
      <w:tr w:rsidR="0098382B" w:rsidRPr="00EA4E4D" w14:paraId="1F5BE163" w14:textId="77777777" w:rsidTr="005C4CAD">
        <w:trPr>
          <w:tblHeader/>
        </w:trPr>
        <w:tc>
          <w:tcPr>
            <w:tcW w:w="1900" w:type="pct"/>
          </w:tcPr>
          <w:p w14:paraId="65B9A13A" w14:textId="77777777" w:rsidR="0098382B" w:rsidRPr="00EA4E4D" w:rsidRDefault="0098382B" w:rsidP="00D73374">
            <w:pPr>
              <w:spacing w:line="276" w:lineRule="auto"/>
              <w:rPr>
                <w:rFonts w:ascii="Arial" w:hAnsi="Arial" w:cs="Arial"/>
                <w:sz w:val="20"/>
                <w:szCs w:val="20"/>
              </w:rPr>
            </w:pPr>
            <w:r w:rsidRPr="00EA4E4D">
              <w:rPr>
                <w:rFonts w:ascii="Arial" w:hAnsi="Arial" w:cs="Arial"/>
                <w:sz w:val="20"/>
                <w:szCs w:val="20"/>
              </w:rPr>
              <w:t xml:space="preserve">Cadeby Quarry </w:t>
            </w:r>
          </w:p>
        </w:tc>
        <w:tc>
          <w:tcPr>
            <w:tcW w:w="1434" w:type="pct"/>
          </w:tcPr>
          <w:p w14:paraId="30FB2636" w14:textId="194E9B44" w:rsidR="0098382B" w:rsidRPr="00EA4E4D" w:rsidRDefault="0098382B" w:rsidP="00D73374">
            <w:pPr>
              <w:spacing w:line="276" w:lineRule="auto"/>
              <w:rPr>
                <w:rFonts w:ascii="Arial" w:hAnsi="Arial" w:cs="Arial"/>
                <w:sz w:val="20"/>
                <w:szCs w:val="20"/>
              </w:rPr>
            </w:pPr>
            <w:r w:rsidRPr="00EA4E4D">
              <w:rPr>
                <w:rFonts w:ascii="Arial" w:hAnsi="Arial" w:cs="Arial"/>
                <w:sz w:val="20"/>
                <w:szCs w:val="20"/>
              </w:rPr>
              <w:t>Leaseholder / Operator Grants Precast Ltd</w:t>
            </w:r>
          </w:p>
        </w:tc>
        <w:tc>
          <w:tcPr>
            <w:tcW w:w="1666" w:type="pct"/>
          </w:tcPr>
          <w:p w14:paraId="2DF5ABD4" w14:textId="77777777" w:rsidR="0098382B" w:rsidRPr="00EA4E4D" w:rsidRDefault="0098382B" w:rsidP="00D73374">
            <w:pPr>
              <w:spacing w:line="276" w:lineRule="auto"/>
              <w:rPr>
                <w:rFonts w:ascii="Arial" w:hAnsi="Arial" w:cs="Arial"/>
                <w:sz w:val="20"/>
                <w:szCs w:val="20"/>
              </w:rPr>
            </w:pPr>
            <w:r w:rsidRPr="00EA4E4D">
              <w:rPr>
                <w:rFonts w:ascii="Arial" w:hAnsi="Arial" w:cs="Arial"/>
                <w:sz w:val="20"/>
                <w:szCs w:val="20"/>
              </w:rPr>
              <w:t>Inactive (aggregate)</w:t>
            </w:r>
          </w:p>
          <w:p w14:paraId="3EE51D1B" w14:textId="77777777" w:rsidR="0098382B" w:rsidRDefault="0098382B" w:rsidP="00D73374">
            <w:pPr>
              <w:spacing w:line="276" w:lineRule="auto"/>
              <w:rPr>
                <w:rFonts w:ascii="Arial" w:hAnsi="Arial" w:cs="Arial"/>
                <w:sz w:val="20"/>
                <w:szCs w:val="20"/>
              </w:rPr>
            </w:pPr>
            <w:r w:rsidRPr="00EA4E4D">
              <w:rPr>
                <w:rFonts w:ascii="Arial" w:hAnsi="Arial" w:cs="Arial"/>
                <w:sz w:val="20"/>
                <w:szCs w:val="20"/>
              </w:rPr>
              <w:t>Active (non-aggregate)</w:t>
            </w:r>
            <w:r w:rsidR="00984665" w:rsidRPr="00EA4E4D">
              <w:rPr>
                <w:rFonts w:ascii="Arial" w:hAnsi="Arial" w:cs="Arial"/>
                <w:sz w:val="20"/>
                <w:szCs w:val="20"/>
              </w:rPr>
              <w:t xml:space="preserve"> </w:t>
            </w:r>
          </w:p>
          <w:p w14:paraId="44CD9F0F" w14:textId="74408063" w:rsidR="00EC5F34" w:rsidRPr="00EA4E4D" w:rsidRDefault="00EC5F34" w:rsidP="00D73374">
            <w:pPr>
              <w:spacing w:line="276" w:lineRule="auto"/>
              <w:rPr>
                <w:rFonts w:ascii="Arial" w:hAnsi="Arial" w:cs="Arial"/>
                <w:sz w:val="20"/>
                <w:szCs w:val="20"/>
              </w:rPr>
            </w:pPr>
            <w:r>
              <w:rPr>
                <w:rFonts w:ascii="Arial" w:hAnsi="Arial" w:cs="Arial"/>
                <w:sz w:val="20"/>
                <w:szCs w:val="20"/>
              </w:rPr>
              <w:t>End of Permission</w:t>
            </w:r>
            <w:r w:rsidR="00A45746">
              <w:rPr>
                <w:rFonts w:ascii="Arial" w:hAnsi="Arial" w:cs="Arial"/>
                <w:sz w:val="20"/>
                <w:szCs w:val="20"/>
              </w:rPr>
              <w:t xml:space="preserve"> </w:t>
            </w:r>
            <w:r w:rsidR="00AA0700">
              <w:rPr>
                <w:rFonts w:ascii="Arial" w:hAnsi="Arial" w:cs="Arial"/>
                <w:sz w:val="20"/>
                <w:szCs w:val="20"/>
              </w:rPr>
              <w:t>14.07</w:t>
            </w:r>
            <w:r w:rsidR="00A45746">
              <w:rPr>
                <w:rFonts w:ascii="Arial" w:hAnsi="Arial" w:cs="Arial"/>
                <w:sz w:val="20"/>
                <w:szCs w:val="20"/>
              </w:rPr>
              <w:t>.2048</w:t>
            </w:r>
          </w:p>
        </w:tc>
      </w:tr>
      <w:tr w:rsidR="0098382B" w:rsidRPr="00EA4E4D" w14:paraId="10EE2235" w14:textId="77777777" w:rsidTr="005C4CAD">
        <w:trPr>
          <w:tblHeader/>
        </w:trPr>
        <w:tc>
          <w:tcPr>
            <w:tcW w:w="1900" w:type="pct"/>
          </w:tcPr>
          <w:p w14:paraId="22E24BC3" w14:textId="77777777" w:rsidR="0098382B" w:rsidRPr="00EA4E4D" w:rsidRDefault="0098382B" w:rsidP="00D73374">
            <w:pPr>
              <w:spacing w:line="276" w:lineRule="auto"/>
              <w:rPr>
                <w:rFonts w:ascii="Arial" w:hAnsi="Arial" w:cs="Arial"/>
                <w:sz w:val="20"/>
                <w:szCs w:val="20"/>
              </w:rPr>
            </w:pPr>
            <w:r w:rsidRPr="00EA4E4D">
              <w:rPr>
                <w:rFonts w:ascii="Arial" w:hAnsi="Arial" w:cs="Arial"/>
                <w:sz w:val="20"/>
                <w:szCs w:val="20"/>
              </w:rPr>
              <w:t>Hazel Lane Quarry</w:t>
            </w:r>
          </w:p>
        </w:tc>
        <w:tc>
          <w:tcPr>
            <w:tcW w:w="1434" w:type="pct"/>
          </w:tcPr>
          <w:p w14:paraId="5E81458A" w14:textId="77777777" w:rsidR="0098382B" w:rsidRPr="00EA4E4D" w:rsidRDefault="0098382B" w:rsidP="00D73374">
            <w:pPr>
              <w:spacing w:line="276" w:lineRule="auto"/>
              <w:rPr>
                <w:rFonts w:ascii="Arial" w:hAnsi="Arial" w:cs="Arial"/>
                <w:sz w:val="20"/>
                <w:szCs w:val="20"/>
              </w:rPr>
            </w:pPr>
            <w:r w:rsidRPr="00EA4E4D">
              <w:rPr>
                <w:rFonts w:ascii="Arial" w:hAnsi="Arial" w:cs="Arial"/>
                <w:sz w:val="20"/>
                <w:szCs w:val="20"/>
              </w:rPr>
              <w:t>Cat Plant Ltd</w:t>
            </w:r>
          </w:p>
        </w:tc>
        <w:tc>
          <w:tcPr>
            <w:tcW w:w="1666" w:type="pct"/>
          </w:tcPr>
          <w:p w14:paraId="3B071B98" w14:textId="77777777" w:rsidR="0098382B" w:rsidRDefault="0098382B" w:rsidP="00D73374">
            <w:pPr>
              <w:spacing w:line="276" w:lineRule="auto"/>
              <w:rPr>
                <w:rFonts w:ascii="Arial" w:hAnsi="Arial" w:cs="Arial"/>
                <w:sz w:val="20"/>
                <w:szCs w:val="20"/>
              </w:rPr>
            </w:pPr>
            <w:r w:rsidRPr="00EA4E4D">
              <w:rPr>
                <w:rFonts w:ascii="Arial" w:hAnsi="Arial" w:cs="Arial"/>
                <w:sz w:val="20"/>
                <w:szCs w:val="20"/>
              </w:rPr>
              <w:t xml:space="preserve">Active </w:t>
            </w:r>
            <w:r w:rsidR="00984665" w:rsidRPr="00EA4E4D">
              <w:rPr>
                <w:rFonts w:ascii="Arial" w:hAnsi="Arial" w:cs="Arial"/>
                <w:sz w:val="20"/>
                <w:szCs w:val="20"/>
              </w:rPr>
              <w:t>(no return)</w:t>
            </w:r>
          </w:p>
          <w:p w14:paraId="2055A6D6" w14:textId="35B4A1D4" w:rsidR="00EC5F34" w:rsidRPr="00EA4E4D" w:rsidRDefault="00EC5F34" w:rsidP="00D73374">
            <w:pPr>
              <w:spacing w:line="276" w:lineRule="auto"/>
              <w:rPr>
                <w:rFonts w:ascii="Arial" w:hAnsi="Arial" w:cs="Arial"/>
                <w:sz w:val="20"/>
                <w:szCs w:val="20"/>
              </w:rPr>
            </w:pPr>
            <w:r>
              <w:rPr>
                <w:rFonts w:ascii="Arial" w:hAnsi="Arial" w:cs="Arial"/>
                <w:sz w:val="20"/>
                <w:szCs w:val="20"/>
              </w:rPr>
              <w:t>End of Permission</w:t>
            </w:r>
            <w:r w:rsidR="00A45746">
              <w:rPr>
                <w:rFonts w:ascii="Arial" w:hAnsi="Arial" w:cs="Arial"/>
                <w:sz w:val="20"/>
                <w:szCs w:val="20"/>
              </w:rPr>
              <w:t xml:space="preserve"> 12.01.2034</w:t>
            </w:r>
          </w:p>
        </w:tc>
      </w:tr>
      <w:tr w:rsidR="0098382B" w:rsidRPr="00EA4E4D" w14:paraId="2D15C938" w14:textId="77777777" w:rsidTr="005C4CAD">
        <w:trPr>
          <w:tblHeader/>
        </w:trPr>
        <w:tc>
          <w:tcPr>
            <w:tcW w:w="1900" w:type="pct"/>
            <w:shd w:val="clear" w:color="auto" w:fill="auto"/>
          </w:tcPr>
          <w:p w14:paraId="1AA30327" w14:textId="77777777" w:rsidR="0098382B" w:rsidRPr="00EA4E4D" w:rsidRDefault="0098382B" w:rsidP="00D73374">
            <w:pPr>
              <w:spacing w:line="276" w:lineRule="auto"/>
              <w:rPr>
                <w:rFonts w:ascii="Arial" w:hAnsi="Arial" w:cs="Arial"/>
                <w:sz w:val="20"/>
                <w:szCs w:val="20"/>
              </w:rPr>
            </w:pPr>
            <w:proofErr w:type="spellStart"/>
            <w:r w:rsidRPr="00EA4E4D">
              <w:rPr>
                <w:rFonts w:ascii="Arial" w:hAnsi="Arial" w:cs="Arial"/>
                <w:sz w:val="20"/>
                <w:szCs w:val="20"/>
              </w:rPr>
              <w:t>Warmsworth</w:t>
            </w:r>
            <w:proofErr w:type="spellEnd"/>
            <w:r w:rsidRPr="00EA4E4D">
              <w:rPr>
                <w:rFonts w:ascii="Arial" w:hAnsi="Arial" w:cs="Arial"/>
                <w:sz w:val="20"/>
                <w:szCs w:val="20"/>
              </w:rPr>
              <w:t xml:space="preserve"> Quarry</w:t>
            </w:r>
          </w:p>
        </w:tc>
        <w:tc>
          <w:tcPr>
            <w:tcW w:w="1434" w:type="pct"/>
            <w:shd w:val="clear" w:color="auto" w:fill="auto"/>
          </w:tcPr>
          <w:p w14:paraId="7ABCB5F9" w14:textId="77777777" w:rsidR="0098382B" w:rsidRPr="00EA4E4D" w:rsidRDefault="0098382B" w:rsidP="00D73374">
            <w:pPr>
              <w:spacing w:line="276" w:lineRule="auto"/>
              <w:rPr>
                <w:rFonts w:ascii="Arial" w:hAnsi="Arial" w:cs="Arial"/>
                <w:sz w:val="20"/>
                <w:szCs w:val="20"/>
              </w:rPr>
            </w:pPr>
            <w:r w:rsidRPr="00EA4E4D">
              <w:rPr>
                <w:rFonts w:ascii="Arial" w:hAnsi="Arial" w:cs="Arial"/>
                <w:sz w:val="20"/>
                <w:szCs w:val="20"/>
              </w:rPr>
              <w:t>Sibelco</w:t>
            </w:r>
          </w:p>
        </w:tc>
        <w:tc>
          <w:tcPr>
            <w:tcW w:w="1666" w:type="pct"/>
            <w:shd w:val="clear" w:color="auto" w:fill="auto"/>
          </w:tcPr>
          <w:p w14:paraId="55CD82AF" w14:textId="77777777" w:rsidR="0098382B" w:rsidRDefault="0098382B" w:rsidP="00D73374">
            <w:pPr>
              <w:spacing w:line="276" w:lineRule="auto"/>
              <w:rPr>
                <w:rFonts w:ascii="Arial" w:hAnsi="Arial" w:cs="Arial"/>
                <w:sz w:val="20"/>
                <w:szCs w:val="20"/>
              </w:rPr>
            </w:pPr>
            <w:r w:rsidRPr="00EA4E4D">
              <w:rPr>
                <w:rFonts w:ascii="Arial" w:hAnsi="Arial" w:cs="Arial"/>
                <w:sz w:val="20"/>
                <w:szCs w:val="20"/>
              </w:rPr>
              <w:t>Active (</w:t>
            </w:r>
            <w:r w:rsidR="00EA4E4D" w:rsidRPr="00EA4E4D">
              <w:rPr>
                <w:rFonts w:ascii="Arial" w:hAnsi="Arial" w:cs="Arial"/>
                <w:sz w:val="20"/>
                <w:szCs w:val="20"/>
              </w:rPr>
              <w:t>i</w:t>
            </w:r>
            <w:r w:rsidRPr="00EA4E4D">
              <w:rPr>
                <w:rFonts w:ascii="Arial" w:hAnsi="Arial" w:cs="Arial"/>
                <w:sz w:val="20"/>
                <w:szCs w:val="20"/>
              </w:rPr>
              <w:t xml:space="preserve">ndustrial mineral and </w:t>
            </w:r>
            <w:r w:rsidR="00EA4E4D" w:rsidRPr="00EA4E4D">
              <w:rPr>
                <w:rFonts w:ascii="Arial" w:hAnsi="Arial" w:cs="Arial"/>
                <w:sz w:val="20"/>
                <w:szCs w:val="20"/>
              </w:rPr>
              <w:t>a</w:t>
            </w:r>
            <w:r w:rsidRPr="00EA4E4D">
              <w:rPr>
                <w:rFonts w:ascii="Arial" w:hAnsi="Arial" w:cs="Arial"/>
                <w:sz w:val="20"/>
                <w:szCs w:val="20"/>
              </w:rPr>
              <w:t>ggregate)</w:t>
            </w:r>
            <w:r w:rsidR="003B42CB">
              <w:rPr>
                <w:rFonts w:ascii="Arial" w:hAnsi="Arial" w:cs="Arial"/>
                <w:sz w:val="20"/>
                <w:szCs w:val="20"/>
              </w:rPr>
              <w:t xml:space="preserve"> (no return)</w:t>
            </w:r>
          </w:p>
          <w:p w14:paraId="349E0440" w14:textId="0E1924D3" w:rsidR="00EC5F34" w:rsidRPr="00EA4E4D" w:rsidRDefault="00EC5F34" w:rsidP="00D73374">
            <w:pPr>
              <w:spacing w:line="276" w:lineRule="auto"/>
              <w:rPr>
                <w:rFonts w:ascii="Arial" w:hAnsi="Arial" w:cs="Arial"/>
                <w:sz w:val="20"/>
                <w:szCs w:val="20"/>
              </w:rPr>
            </w:pPr>
            <w:r>
              <w:rPr>
                <w:rFonts w:ascii="Arial" w:hAnsi="Arial" w:cs="Arial"/>
                <w:sz w:val="20"/>
                <w:szCs w:val="20"/>
              </w:rPr>
              <w:t>End of Permission</w:t>
            </w:r>
            <w:r w:rsidR="00A45746">
              <w:rPr>
                <w:rFonts w:ascii="Arial" w:hAnsi="Arial" w:cs="Arial"/>
                <w:sz w:val="20"/>
                <w:szCs w:val="20"/>
              </w:rPr>
              <w:t xml:space="preserve"> 2048</w:t>
            </w:r>
          </w:p>
        </w:tc>
      </w:tr>
    </w:tbl>
    <w:p w14:paraId="06FE879C" w14:textId="77777777" w:rsidR="00536352" w:rsidRPr="000F7AA2" w:rsidRDefault="00E43654" w:rsidP="00D73374">
      <w:pPr>
        <w:pStyle w:val="Sub-heading"/>
        <w:spacing w:before="240" w:after="240" w:line="276" w:lineRule="auto"/>
        <w:jc w:val="left"/>
        <w:outlineLvl w:val="1"/>
        <w:rPr>
          <w:color w:val="auto"/>
          <w:sz w:val="24"/>
          <w:szCs w:val="24"/>
        </w:rPr>
      </w:pPr>
      <w:bookmarkStart w:id="12" w:name="_Toc198549798"/>
      <w:r w:rsidRPr="000F7AA2">
        <w:rPr>
          <w:color w:val="auto"/>
          <w:sz w:val="24"/>
          <w:szCs w:val="24"/>
        </w:rPr>
        <w:t>Sand and Gravel</w:t>
      </w:r>
      <w:bookmarkEnd w:id="12"/>
    </w:p>
    <w:p w14:paraId="6DA5219E" w14:textId="5B1AD5D6" w:rsidR="00E43654" w:rsidRPr="00411AEB" w:rsidRDefault="002933FB" w:rsidP="00D73374">
      <w:pPr>
        <w:numPr>
          <w:ilvl w:val="0"/>
          <w:numId w:val="3"/>
        </w:numPr>
        <w:spacing w:before="240" w:after="200" w:line="276" w:lineRule="auto"/>
        <w:ind w:left="426"/>
        <w:rPr>
          <w:rFonts w:ascii="Arial" w:eastAsia="Times New Roman" w:hAnsi="Arial" w:cs="Arial"/>
        </w:rPr>
      </w:pPr>
      <w:r>
        <w:rPr>
          <w:rFonts w:ascii="Arial" w:eastAsia="Times New Roman" w:hAnsi="Arial" w:cs="Arial"/>
        </w:rPr>
        <w:t>Table</w:t>
      </w:r>
      <w:r w:rsidR="000A02F2">
        <w:rPr>
          <w:rFonts w:ascii="Arial" w:eastAsia="Times New Roman" w:hAnsi="Arial" w:cs="Arial"/>
        </w:rPr>
        <w:t xml:space="preserve"> </w:t>
      </w:r>
      <w:r>
        <w:rPr>
          <w:rFonts w:ascii="Arial" w:eastAsia="Times New Roman" w:hAnsi="Arial" w:cs="Arial"/>
        </w:rPr>
        <w:t>3</w:t>
      </w:r>
      <w:r w:rsidR="00E43654">
        <w:rPr>
          <w:rFonts w:ascii="Arial" w:eastAsia="Times New Roman" w:hAnsi="Arial" w:cs="Arial"/>
        </w:rPr>
        <w:t xml:space="preserve"> below shows</w:t>
      </w:r>
      <w:r w:rsidR="0043075E">
        <w:rPr>
          <w:rFonts w:ascii="Arial" w:eastAsia="Times New Roman" w:hAnsi="Arial" w:cs="Arial"/>
        </w:rPr>
        <w:t xml:space="preserve"> the previous eleven</w:t>
      </w:r>
      <w:r w:rsidR="0018601D">
        <w:rPr>
          <w:rFonts w:ascii="Arial" w:eastAsia="Times New Roman" w:hAnsi="Arial" w:cs="Arial"/>
        </w:rPr>
        <w:t xml:space="preserve"> year’s </w:t>
      </w:r>
      <w:r w:rsidR="00E43654">
        <w:rPr>
          <w:rFonts w:ascii="Arial" w:eastAsia="Times New Roman" w:hAnsi="Arial" w:cs="Arial"/>
        </w:rPr>
        <w:t>sand and gravel production</w:t>
      </w:r>
      <w:r w:rsidR="0018601D">
        <w:rPr>
          <w:rFonts w:ascii="Arial" w:eastAsia="Times New Roman" w:hAnsi="Arial" w:cs="Arial"/>
        </w:rPr>
        <w:t xml:space="preserve"> figures </w:t>
      </w:r>
      <w:r w:rsidR="00F15DB5">
        <w:rPr>
          <w:rFonts w:ascii="Arial" w:eastAsia="Times New Roman" w:hAnsi="Arial" w:cs="Arial"/>
        </w:rPr>
        <w:t xml:space="preserve">for </w:t>
      </w:r>
      <w:r w:rsidR="00F15DB5" w:rsidRPr="00411AEB">
        <w:rPr>
          <w:rFonts w:ascii="Arial" w:eastAsia="Times New Roman" w:hAnsi="Arial" w:cs="Arial"/>
        </w:rPr>
        <w:t>201</w:t>
      </w:r>
      <w:r w:rsidR="00411AEB" w:rsidRPr="00411AEB">
        <w:rPr>
          <w:rFonts w:ascii="Arial" w:eastAsia="Times New Roman" w:hAnsi="Arial" w:cs="Arial"/>
        </w:rPr>
        <w:t>3</w:t>
      </w:r>
      <w:r w:rsidR="00454E25" w:rsidRPr="00411AEB">
        <w:rPr>
          <w:rFonts w:ascii="Arial" w:eastAsia="Times New Roman" w:hAnsi="Arial" w:cs="Arial"/>
        </w:rPr>
        <w:t xml:space="preserve"> to </w:t>
      </w:r>
      <w:r w:rsidR="000A6367" w:rsidRPr="00411AEB">
        <w:rPr>
          <w:rFonts w:ascii="Arial" w:eastAsia="Times New Roman" w:hAnsi="Arial" w:cs="Arial"/>
        </w:rPr>
        <w:t>202</w:t>
      </w:r>
      <w:r w:rsidR="00411AEB" w:rsidRPr="00411AEB">
        <w:rPr>
          <w:rFonts w:ascii="Arial" w:eastAsia="Times New Roman" w:hAnsi="Arial" w:cs="Arial"/>
        </w:rPr>
        <w:t xml:space="preserve">3 </w:t>
      </w:r>
      <w:r w:rsidR="00361F23" w:rsidRPr="00411AEB">
        <w:rPr>
          <w:rFonts w:ascii="Arial" w:eastAsia="Times New Roman" w:hAnsi="Arial" w:cs="Arial"/>
        </w:rPr>
        <w:t>inclusive</w:t>
      </w:r>
      <w:r w:rsidR="00FD652F" w:rsidRPr="00411AEB">
        <w:rPr>
          <w:rFonts w:ascii="Arial" w:eastAsia="Times New Roman" w:hAnsi="Arial" w:cs="Arial"/>
        </w:rPr>
        <w:t xml:space="preserve">. </w:t>
      </w:r>
      <w:r w:rsidR="00631DFE" w:rsidRPr="00411AEB">
        <w:rPr>
          <w:rFonts w:ascii="Arial" w:eastAsia="Times New Roman" w:hAnsi="Arial" w:cs="Arial"/>
        </w:rPr>
        <w:t xml:space="preserve">The </w:t>
      </w:r>
      <w:r w:rsidR="00FD652F" w:rsidRPr="00411AEB">
        <w:rPr>
          <w:rFonts w:ascii="Arial" w:eastAsia="Times New Roman" w:hAnsi="Arial" w:cs="Arial"/>
        </w:rPr>
        <w:t>2019 data</w:t>
      </w:r>
      <w:r w:rsidR="00631DFE" w:rsidRPr="00411AEB">
        <w:rPr>
          <w:rFonts w:ascii="Arial" w:eastAsia="Times New Roman" w:hAnsi="Arial" w:cs="Arial"/>
        </w:rPr>
        <w:t xml:space="preserve"> has not been used to</w:t>
      </w:r>
      <w:r w:rsidR="00A65612" w:rsidRPr="00411AEB">
        <w:rPr>
          <w:rFonts w:ascii="Arial" w:eastAsia="Times New Roman" w:hAnsi="Arial" w:cs="Arial"/>
        </w:rPr>
        <w:t xml:space="preserve"> calculate the </w:t>
      </w:r>
      <w:r w:rsidR="00F15DB5" w:rsidRPr="00411AEB">
        <w:rPr>
          <w:rFonts w:ascii="Arial" w:eastAsia="Times New Roman" w:hAnsi="Arial" w:cs="Arial"/>
        </w:rPr>
        <w:t>(</w:t>
      </w:r>
      <w:proofErr w:type="gramStart"/>
      <w:r w:rsidR="00F15DB5" w:rsidRPr="00411AEB">
        <w:rPr>
          <w:rFonts w:ascii="Arial" w:eastAsia="Times New Roman" w:hAnsi="Arial" w:cs="Arial"/>
        </w:rPr>
        <w:t>ten year</w:t>
      </w:r>
      <w:proofErr w:type="gramEnd"/>
      <w:r w:rsidR="00F15DB5" w:rsidRPr="00411AEB">
        <w:rPr>
          <w:rFonts w:ascii="Arial" w:eastAsia="Times New Roman" w:hAnsi="Arial" w:cs="Arial"/>
        </w:rPr>
        <w:t xml:space="preserve"> average) </w:t>
      </w:r>
      <w:r w:rsidR="00A65612" w:rsidRPr="00411AEB">
        <w:rPr>
          <w:rFonts w:ascii="Arial" w:eastAsia="Times New Roman" w:hAnsi="Arial" w:cs="Arial"/>
        </w:rPr>
        <w:t xml:space="preserve">landbank for </w:t>
      </w:r>
      <w:r w:rsidR="000A6367" w:rsidRPr="00411AEB">
        <w:rPr>
          <w:rFonts w:ascii="Arial" w:eastAsia="Times New Roman" w:hAnsi="Arial" w:cs="Arial"/>
        </w:rPr>
        <w:t>202</w:t>
      </w:r>
      <w:r w:rsidR="000F20BC">
        <w:rPr>
          <w:rFonts w:ascii="Arial" w:eastAsia="Times New Roman" w:hAnsi="Arial" w:cs="Arial"/>
        </w:rPr>
        <w:t>3</w:t>
      </w:r>
      <w:r w:rsidR="00D1292D" w:rsidRPr="00411AEB">
        <w:rPr>
          <w:rFonts w:ascii="Arial" w:eastAsia="Times New Roman" w:hAnsi="Arial" w:cs="Arial"/>
        </w:rPr>
        <w:t xml:space="preserve"> due to </w:t>
      </w:r>
      <w:r w:rsidR="00FD652F" w:rsidRPr="00411AEB">
        <w:rPr>
          <w:rFonts w:ascii="Arial" w:eastAsia="Times New Roman" w:hAnsi="Arial" w:cs="Arial"/>
        </w:rPr>
        <w:t>limited monito</w:t>
      </w:r>
      <w:r w:rsidR="0043075E" w:rsidRPr="00411AEB">
        <w:rPr>
          <w:rFonts w:ascii="Arial" w:eastAsia="Times New Roman" w:hAnsi="Arial" w:cs="Arial"/>
        </w:rPr>
        <w:t xml:space="preserve">ring data received during </w:t>
      </w:r>
      <w:r w:rsidR="00FD652F" w:rsidRPr="00411AEB">
        <w:rPr>
          <w:rFonts w:ascii="Arial" w:eastAsia="Times New Roman" w:hAnsi="Arial" w:cs="Arial"/>
        </w:rPr>
        <w:t>the</w:t>
      </w:r>
      <w:r w:rsidR="0043075E" w:rsidRPr="00411AEB">
        <w:rPr>
          <w:rFonts w:ascii="Arial" w:eastAsia="Times New Roman" w:hAnsi="Arial" w:cs="Arial"/>
        </w:rPr>
        <w:t xml:space="preserve"> Covid</w:t>
      </w:r>
      <w:r w:rsidR="00FD652F" w:rsidRPr="00411AEB">
        <w:rPr>
          <w:rFonts w:ascii="Arial" w:eastAsia="Times New Roman" w:hAnsi="Arial" w:cs="Arial"/>
        </w:rPr>
        <w:t xml:space="preserve"> pandemic. </w:t>
      </w:r>
      <w:r w:rsidR="0018601D" w:rsidRPr="00411AEB">
        <w:rPr>
          <w:rFonts w:ascii="Arial" w:eastAsia="Times New Roman" w:hAnsi="Arial" w:cs="Arial"/>
        </w:rPr>
        <w:t xml:space="preserve"> </w:t>
      </w:r>
    </w:p>
    <w:p w14:paraId="7307A235" w14:textId="72AD2E83" w:rsidR="00E43654" w:rsidRPr="00E43654" w:rsidRDefault="002933FB" w:rsidP="00D73374">
      <w:pPr>
        <w:pStyle w:val="Sub-heading"/>
        <w:spacing w:line="276" w:lineRule="auto"/>
        <w:jc w:val="left"/>
        <w:outlineLvl w:val="1"/>
        <w:rPr>
          <w:color w:val="auto"/>
          <w:sz w:val="22"/>
          <w:szCs w:val="22"/>
        </w:rPr>
      </w:pPr>
      <w:bookmarkStart w:id="13" w:name="_Toc473105740"/>
      <w:bookmarkStart w:id="14" w:name="_Toc500147117"/>
      <w:bookmarkStart w:id="15" w:name="_Toc522792091"/>
      <w:bookmarkStart w:id="16" w:name="_Toc198549799"/>
      <w:r w:rsidRPr="00411AEB">
        <w:rPr>
          <w:color w:val="auto"/>
          <w:sz w:val="22"/>
          <w:szCs w:val="22"/>
        </w:rPr>
        <w:t>Table 3</w:t>
      </w:r>
      <w:r w:rsidR="006277C1" w:rsidRPr="00411AEB">
        <w:rPr>
          <w:color w:val="auto"/>
          <w:sz w:val="22"/>
          <w:szCs w:val="22"/>
        </w:rPr>
        <w:t>.</w:t>
      </w:r>
      <w:r w:rsidR="00E43654" w:rsidRPr="00411AEB">
        <w:rPr>
          <w:color w:val="auto"/>
          <w:sz w:val="22"/>
          <w:szCs w:val="22"/>
        </w:rPr>
        <w:t xml:space="preserve"> Sand and Gravel Aggreg</w:t>
      </w:r>
      <w:r w:rsidR="00F504EB" w:rsidRPr="00411AEB">
        <w:rPr>
          <w:color w:val="auto"/>
          <w:sz w:val="22"/>
          <w:szCs w:val="22"/>
        </w:rPr>
        <w:t xml:space="preserve">ate </w:t>
      </w:r>
      <w:r w:rsidR="00F15DB5" w:rsidRPr="00411AEB">
        <w:rPr>
          <w:color w:val="auto"/>
          <w:sz w:val="22"/>
          <w:szCs w:val="22"/>
        </w:rPr>
        <w:t>sales 201</w:t>
      </w:r>
      <w:r w:rsidR="00411AEB" w:rsidRPr="00411AEB">
        <w:rPr>
          <w:color w:val="auto"/>
          <w:sz w:val="22"/>
          <w:szCs w:val="22"/>
        </w:rPr>
        <w:t>3</w:t>
      </w:r>
      <w:r w:rsidR="00454E25" w:rsidRPr="00411AEB">
        <w:rPr>
          <w:color w:val="auto"/>
          <w:sz w:val="22"/>
          <w:szCs w:val="22"/>
        </w:rPr>
        <w:t xml:space="preserve"> to </w:t>
      </w:r>
      <w:r w:rsidR="000A6367" w:rsidRPr="00411AEB">
        <w:rPr>
          <w:color w:val="auto"/>
          <w:sz w:val="22"/>
          <w:szCs w:val="22"/>
        </w:rPr>
        <w:t>202</w:t>
      </w:r>
      <w:r w:rsidR="00411AEB" w:rsidRPr="00411AEB">
        <w:rPr>
          <w:color w:val="auto"/>
          <w:sz w:val="22"/>
          <w:szCs w:val="22"/>
        </w:rPr>
        <w:t>3</w:t>
      </w:r>
      <w:r w:rsidR="00E43654" w:rsidRPr="00411AEB">
        <w:rPr>
          <w:color w:val="auto"/>
          <w:sz w:val="22"/>
          <w:szCs w:val="22"/>
        </w:rPr>
        <w:t xml:space="preserve"> (Mt)</w:t>
      </w:r>
      <w:bookmarkEnd w:id="13"/>
      <w:bookmarkEnd w:id="14"/>
      <w:bookmarkEnd w:id="15"/>
      <w:bookmarkEnd w:id="16"/>
    </w:p>
    <w:tbl>
      <w:tblPr>
        <w:tblW w:w="4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Caption w:val="Sand and Gravel Aggregate sales 2010 to 2020 in millions of tonnes"/>
        <w:tblDescription w:val="Sand and Gravel Aggregate sales 2010 to 2020 in millions of tonnes"/>
      </w:tblPr>
      <w:tblGrid>
        <w:gridCol w:w="1134"/>
        <w:gridCol w:w="677"/>
        <w:gridCol w:w="750"/>
        <w:gridCol w:w="677"/>
        <w:gridCol w:w="677"/>
        <w:gridCol w:w="677"/>
        <w:gridCol w:w="677"/>
        <w:gridCol w:w="750"/>
        <w:gridCol w:w="677"/>
        <w:gridCol w:w="677"/>
        <w:gridCol w:w="677"/>
        <w:gridCol w:w="677"/>
      </w:tblGrid>
      <w:tr w:rsidR="00411AEB" w:rsidRPr="00FD652F" w14:paraId="174A471A" w14:textId="77777777" w:rsidTr="00411AEB">
        <w:trPr>
          <w:tblHeader/>
          <w:jc w:val="center"/>
        </w:trPr>
        <w:tc>
          <w:tcPr>
            <w:tcW w:w="661" w:type="pct"/>
            <w:shd w:val="clear" w:color="auto" w:fill="F2F2F2" w:themeFill="background1" w:themeFillShade="F2"/>
            <w:vAlign w:val="center"/>
          </w:tcPr>
          <w:p w14:paraId="06E6B62E" w14:textId="77777777"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b/>
                <w:spacing w:val="-2"/>
                <w:sz w:val="20"/>
                <w:szCs w:val="20"/>
              </w:rPr>
            </w:pPr>
            <w:bookmarkStart w:id="17" w:name="OLE_LINK1"/>
            <w:bookmarkStart w:id="18" w:name="OLE_LINK2"/>
            <w:bookmarkStart w:id="19" w:name="OLE_LINK3"/>
            <w:r w:rsidRPr="00FD652F">
              <w:rPr>
                <w:rFonts w:ascii="Arial" w:hAnsi="Arial" w:cs="Arial"/>
                <w:b/>
                <w:spacing w:val="-2"/>
                <w:sz w:val="20"/>
                <w:szCs w:val="20"/>
              </w:rPr>
              <w:t>Year</w:t>
            </w:r>
          </w:p>
        </w:tc>
        <w:tc>
          <w:tcPr>
            <w:tcW w:w="394" w:type="pct"/>
            <w:shd w:val="clear" w:color="auto" w:fill="F2F2F2" w:themeFill="background1" w:themeFillShade="F2"/>
            <w:vAlign w:val="center"/>
          </w:tcPr>
          <w:p w14:paraId="06454783" w14:textId="324609F7"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b/>
                <w:spacing w:val="-2"/>
                <w:sz w:val="20"/>
                <w:szCs w:val="20"/>
              </w:rPr>
            </w:pPr>
            <w:r w:rsidRPr="00FD652F">
              <w:rPr>
                <w:rFonts w:ascii="Arial" w:hAnsi="Arial" w:cs="Arial"/>
                <w:b/>
                <w:spacing w:val="-2"/>
                <w:sz w:val="20"/>
                <w:szCs w:val="20"/>
              </w:rPr>
              <w:t>2013</w:t>
            </w:r>
          </w:p>
        </w:tc>
        <w:tc>
          <w:tcPr>
            <w:tcW w:w="437" w:type="pct"/>
            <w:shd w:val="clear" w:color="auto" w:fill="F2F2F2" w:themeFill="background1" w:themeFillShade="F2"/>
            <w:vAlign w:val="center"/>
          </w:tcPr>
          <w:p w14:paraId="2AD5126E" w14:textId="50D2ACD4"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b/>
                <w:spacing w:val="-2"/>
                <w:sz w:val="20"/>
                <w:szCs w:val="20"/>
              </w:rPr>
            </w:pPr>
            <w:r w:rsidRPr="00FD652F">
              <w:rPr>
                <w:rFonts w:ascii="Arial" w:hAnsi="Arial" w:cs="Arial"/>
                <w:b/>
                <w:spacing w:val="-2"/>
                <w:sz w:val="20"/>
                <w:szCs w:val="20"/>
              </w:rPr>
              <w:t>2014</w:t>
            </w:r>
            <w:r w:rsidRPr="00FD652F">
              <w:rPr>
                <w:rStyle w:val="FootnoteReference"/>
                <w:rFonts w:ascii="Arial" w:hAnsi="Arial" w:cs="Arial"/>
                <w:spacing w:val="-2"/>
                <w:sz w:val="20"/>
                <w:szCs w:val="20"/>
              </w:rPr>
              <w:footnoteReference w:id="6"/>
            </w:r>
          </w:p>
        </w:tc>
        <w:tc>
          <w:tcPr>
            <w:tcW w:w="394" w:type="pct"/>
            <w:shd w:val="clear" w:color="auto" w:fill="F2F2F2" w:themeFill="background1" w:themeFillShade="F2"/>
            <w:vAlign w:val="center"/>
          </w:tcPr>
          <w:p w14:paraId="4B30D562" w14:textId="6DC023C5"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b/>
                <w:spacing w:val="-2"/>
                <w:sz w:val="20"/>
                <w:szCs w:val="20"/>
              </w:rPr>
            </w:pPr>
            <w:r w:rsidRPr="00FD652F">
              <w:rPr>
                <w:rFonts w:ascii="Arial" w:hAnsi="Arial" w:cs="Arial"/>
                <w:b/>
                <w:spacing w:val="-2"/>
                <w:sz w:val="20"/>
                <w:szCs w:val="20"/>
              </w:rPr>
              <w:t>2015</w:t>
            </w:r>
          </w:p>
        </w:tc>
        <w:tc>
          <w:tcPr>
            <w:tcW w:w="394" w:type="pct"/>
            <w:shd w:val="clear" w:color="auto" w:fill="F2F2F2" w:themeFill="background1" w:themeFillShade="F2"/>
            <w:vAlign w:val="center"/>
          </w:tcPr>
          <w:p w14:paraId="2B76FF1F" w14:textId="7F29290F"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b/>
                <w:spacing w:val="-2"/>
                <w:sz w:val="20"/>
                <w:szCs w:val="20"/>
              </w:rPr>
            </w:pPr>
            <w:r w:rsidRPr="00FD652F">
              <w:rPr>
                <w:rFonts w:ascii="Arial" w:hAnsi="Arial" w:cs="Arial"/>
                <w:b/>
                <w:spacing w:val="-2"/>
                <w:sz w:val="20"/>
                <w:szCs w:val="20"/>
              </w:rPr>
              <w:t>2016</w:t>
            </w:r>
          </w:p>
        </w:tc>
        <w:tc>
          <w:tcPr>
            <w:tcW w:w="394" w:type="pct"/>
            <w:shd w:val="clear" w:color="auto" w:fill="F2F2F2" w:themeFill="background1" w:themeFillShade="F2"/>
            <w:vAlign w:val="center"/>
          </w:tcPr>
          <w:p w14:paraId="0F261F08" w14:textId="69192540"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b/>
                <w:spacing w:val="-2"/>
                <w:sz w:val="20"/>
                <w:szCs w:val="20"/>
              </w:rPr>
            </w:pPr>
            <w:r w:rsidRPr="00FD652F">
              <w:rPr>
                <w:rFonts w:ascii="Arial" w:hAnsi="Arial" w:cs="Arial"/>
                <w:b/>
                <w:spacing w:val="-2"/>
                <w:sz w:val="20"/>
                <w:szCs w:val="20"/>
              </w:rPr>
              <w:t>2017</w:t>
            </w:r>
          </w:p>
        </w:tc>
        <w:tc>
          <w:tcPr>
            <w:tcW w:w="394" w:type="pct"/>
            <w:shd w:val="clear" w:color="auto" w:fill="F2F2F2" w:themeFill="background1" w:themeFillShade="F2"/>
            <w:vAlign w:val="center"/>
          </w:tcPr>
          <w:p w14:paraId="4481366B" w14:textId="04B6EB62"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b/>
                <w:spacing w:val="-2"/>
                <w:sz w:val="20"/>
                <w:szCs w:val="20"/>
              </w:rPr>
            </w:pPr>
            <w:r w:rsidRPr="00FD652F">
              <w:rPr>
                <w:rFonts w:ascii="Arial" w:hAnsi="Arial" w:cs="Arial"/>
                <w:b/>
                <w:spacing w:val="-2"/>
                <w:sz w:val="20"/>
                <w:szCs w:val="20"/>
              </w:rPr>
              <w:t>2018</w:t>
            </w:r>
          </w:p>
        </w:tc>
        <w:tc>
          <w:tcPr>
            <w:tcW w:w="437" w:type="pct"/>
            <w:shd w:val="clear" w:color="auto" w:fill="F2F2F2" w:themeFill="background1" w:themeFillShade="F2"/>
            <w:vAlign w:val="center"/>
          </w:tcPr>
          <w:p w14:paraId="2C118FC6" w14:textId="7870CDFD"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b/>
                <w:spacing w:val="-2"/>
                <w:sz w:val="20"/>
                <w:szCs w:val="20"/>
              </w:rPr>
            </w:pPr>
            <w:r w:rsidRPr="00FD652F">
              <w:rPr>
                <w:rFonts w:ascii="Arial" w:hAnsi="Arial" w:cs="Arial"/>
                <w:b/>
                <w:spacing w:val="-2"/>
                <w:sz w:val="20"/>
                <w:szCs w:val="20"/>
              </w:rPr>
              <w:t>2019</w:t>
            </w:r>
            <w:r w:rsidRPr="00FD652F">
              <w:rPr>
                <w:rStyle w:val="FootnoteReference"/>
                <w:rFonts w:ascii="Arial" w:hAnsi="Arial" w:cs="Arial"/>
                <w:b/>
                <w:spacing w:val="-2"/>
                <w:sz w:val="20"/>
                <w:szCs w:val="20"/>
              </w:rPr>
              <w:footnoteReference w:id="7"/>
            </w:r>
          </w:p>
        </w:tc>
        <w:tc>
          <w:tcPr>
            <w:tcW w:w="394" w:type="pct"/>
            <w:shd w:val="clear" w:color="auto" w:fill="F2F2F2" w:themeFill="background1" w:themeFillShade="F2"/>
            <w:vAlign w:val="center"/>
          </w:tcPr>
          <w:p w14:paraId="38C55DCC" w14:textId="544D7744"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b/>
                <w:spacing w:val="-2"/>
                <w:sz w:val="20"/>
                <w:szCs w:val="20"/>
              </w:rPr>
            </w:pPr>
            <w:r w:rsidRPr="00FD652F">
              <w:rPr>
                <w:rFonts w:ascii="Arial" w:hAnsi="Arial" w:cs="Arial"/>
                <w:b/>
                <w:spacing w:val="-2"/>
                <w:sz w:val="20"/>
                <w:szCs w:val="20"/>
              </w:rPr>
              <w:t>2020</w:t>
            </w:r>
          </w:p>
        </w:tc>
        <w:tc>
          <w:tcPr>
            <w:tcW w:w="394" w:type="pct"/>
            <w:shd w:val="clear" w:color="auto" w:fill="F2F2F2" w:themeFill="background1" w:themeFillShade="F2"/>
          </w:tcPr>
          <w:p w14:paraId="06AC1DCD" w14:textId="3AE5561A"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b/>
                <w:spacing w:val="-2"/>
                <w:sz w:val="20"/>
                <w:szCs w:val="20"/>
              </w:rPr>
            </w:pPr>
            <w:r>
              <w:rPr>
                <w:rFonts w:ascii="Arial" w:hAnsi="Arial" w:cs="Arial"/>
                <w:b/>
                <w:spacing w:val="-2"/>
                <w:sz w:val="20"/>
                <w:szCs w:val="20"/>
              </w:rPr>
              <w:t>2021</w:t>
            </w:r>
          </w:p>
        </w:tc>
        <w:tc>
          <w:tcPr>
            <w:tcW w:w="394" w:type="pct"/>
            <w:shd w:val="clear" w:color="auto" w:fill="F2F2F2" w:themeFill="background1" w:themeFillShade="F2"/>
          </w:tcPr>
          <w:p w14:paraId="13FFE7EA" w14:textId="0B24FA97"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b/>
                <w:spacing w:val="-2"/>
                <w:sz w:val="20"/>
                <w:szCs w:val="20"/>
              </w:rPr>
            </w:pPr>
            <w:r>
              <w:rPr>
                <w:rFonts w:ascii="Arial" w:hAnsi="Arial" w:cs="Arial"/>
                <w:b/>
                <w:spacing w:val="-2"/>
                <w:sz w:val="20"/>
                <w:szCs w:val="20"/>
              </w:rPr>
              <w:t>2022</w:t>
            </w:r>
          </w:p>
        </w:tc>
        <w:tc>
          <w:tcPr>
            <w:tcW w:w="309" w:type="pct"/>
            <w:shd w:val="clear" w:color="auto" w:fill="F2F2F2" w:themeFill="background1" w:themeFillShade="F2"/>
          </w:tcPr>
          <w:p w14:paraId="5BE7BDFA" w14:textId="2E50397B"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b/>
                <w:spacing w:val="-2"/>
                <w:sz w:val="20"/>
                <w:szCs w:val="20"/>
              </w:rPr>
            </w:pPr>
            <w:r>
              <w:rPr>
                <w:rFonts w:ascii="Arial" w:hAnsi="Arial" w:cs="Arial"/>
                <w:b/>
                <w:spacing w:val="-2"/>
                <w:sz w:val="20"/>
                <w:szCs w:val="20"/>
              </w:rPr>
              <w:t>2023</w:t>
            </w:r>
          </w:p>
        </w:tc>
      </w:tr>
      <w:tr w:rsidR="00411AEB" w:rsidRPr="00FD652F" w14:paraId="026F65AE" w14:textId="77777777" w:rsidTr="00411AEB">
        <w:trPr>
          <w:jc w:val="center"/>
        </w:trPr>
        <w:tc>
          <w:tcPr>
            <w:tcW w:w="661" w:type="pct"/>
            <w:vAlign w:val="center"/>
          </w:tcPr>
          <w:p w14:paraId="17965D55" w14:textId="77777777" w:rsidR="00411AEB" w:rsidRPr="00FD652F" w:rsidRDefault="00411AEB" w:rsidP="00D73374">
            <w:pPr>
              <w:tabs>
                <w:tab w:val="left" w:pos="-720"/>
                <w:tab w:val="left" w:pos="0"/>
                <w:tab w:val="left" w:pos="1056"/>
                <w:tab w:val="left" w:pos="2160"/>
              </w:tabs>
              <w:suppressAutoHyphens/>
              <w:spacing w:before="90" w:line="276" w:lineRule="auto"/>
              <w:jc w:val="center"/>
              <w:rPr>
                <w:rFonts w:ascii="Arial" w:hAnsi="Arial" w:cs="Arial"/>
                <w:spacing w:val="-2"/>
                <w:sz w:val="20"/>
                <w:szCs w:val="20"/>
              </w:rPr>
            </w:pPr>
            <w:r w:rsidRPr="00FD652F">
              <w:rPr>
                <w:rFonts w:ascii="Arial" w:hAnsi="Arial" w:cs="Arial"/>
                <w:spacing w:val="-2"/>
                <w:sz w:val="20"/>
                <w:szCs w:val="20"/>
              </w:rPr>
              <w:t>Doncaster</w:t>
            </w:r>
          </w:p>
        </w:tc>
        <w:tc>
          <w:tcPr>
            <w:tcW w:w="394" w:type="pct"/>
            <w:vAlign w:val="center"/>
          </w:tcPr>
          <w:p w14:paraId="0E144DB2" w14:textId="1F9F6519"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spacing w:val="-2"/>
                <w:sz w:val="20"/>
                <w:szCs w:val="20"/>
              </w:rPr>
            </w:pPr>
            <w:r w:rsidRPr="00FD652F">
              <w:rPr>
                <w:rFonts w:ascii="Arial" w:hAnsi="Arial" w:cs="Arial"/>
                <w:spacing w:val="-2"/>
                <w:sz w:val="20"/>
                <w:szCs w:val="20"/>
              </w:rPr>
              <w:t>0.15</w:t>
            </w:r>
          </w:p>
        </w:tc>
        <w:tc>
          <w:tcPr>
            <w:tcW w:w="437" w:type="pct"/>
            <w:vAlign w:val="center"/>
          </w:tcPr>
          <w:p w14:paraId="3BF55911" w14:textId="40F63A30"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spacing w:val="-2"/>
                <w:sz w:val="20"/>
                <w:szCs w:val="20"/>
              </w:rPr>
            </w:pPr>
            <w:r w:rsidRPr="00FD652F">
              <w:rPr>
                <w:rFonts w:ascii="Arial" w:hAnsi="Arial" w:cs="Arial"/>
                <w:spacing w:val="-2"/>
                <w:sz w:val="20"/>
                <w:szCs w:val="20"/>
              </w:rPr>
              <w:t>0.14</w:t>
            </w:r>
          </w:p>
        </w:tc>
        <w:tc>
          <w:tcPr>
            <w:tcW w:w="394" w:type="pct"/>
            <w:vAlign w:val="center"/>
          </w:tcPr>
          <w:p w14:paraId="4E66ABE1" w14:textId="41230F91"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spacing w:val="-2"/>
                <w:sz w:val="20"/>
                <w:szCs w:val="20"/>
              </w:rPr>
            </w:pPr>
            <w:r w:rsidRPr="00FD652F">
              <w:rPr>
                <w:rFonts w:ascii="Arial" w:hAnsi="Arial" w:cs="Arial"/>
                <w:spacing w:val="-2"/>
                <w:sz w:val="20"/>
                <w:szCs w:val="20"/>
              </w:rPr>
              <w:t>0.4</w:t>
            </w:r>
          </w:p>
        </w:tc>
        <w:tc>
          <w:tcPr>
            <w:tcW w:w="394" w:type="pct"/>
            <w:vAlign w:val="center"/>
          </w:tcPr>
          <w:p w14:paraId="53DCB43F" w14:textId="7918F621"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spacing w:val="-2"/>
                <w:sz w:val="20"/>
                <w:szCs w:val="20"/>
              </w:rPr>
            </w:pPr>
            <w:r w:rsidRPr="00FD652F">
              <w:rPr>
                <w:rFonts w:ascii="Arial" w:hAnsi="Arial" w:cs="Arial"/>
                <w:spacing w:val="-2"/>
                <w:sz w:val="20"/>
                <w:szCs w:val="20"/>
              </w:rPr>
              <w:t>0.5</w:t>
            </w:r>
          </w:p>
        </w:tc>
        <w:tc>
          <w:tcPr>
            <w:tcW w:w="394" w:type="pct"/>
            <w:vAlign w:val="center"/>
          </w:tcPr>
          <w:p w14:paraId="54FBC919" w14:textId="4DA742A1"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spacing w:val="-2"/>
                <w:sz w:val="20"/>
                <w:szCs w:val="20"/>
              </w:rPr>
            </w:pPr>
            <w:r w:rsidRPr="00FD652F">
              <w:rPr>
                <w:rFonts w:ascii="Arial" w:hAnsi="Arial" w:cs="Arial"/>
                <w:spacing w:val="-2"/>
                <w:sz w:val="20"/>
                <w:szCs w:val="20"/>
              </w:rPr>
              <w:t>0.6</w:t>
            </w:r>
          </w:p>
        </w:tc>
        <w:tc>
          <w:tcPr>
            <w:tcW w:w="394" w:type="pct"/>
            <w:vAlign w:val="center"/>
          </w:tcPr>
          <w:p w14:paraId="5A5EB9B8" w14:textId="24B3F108"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spacing w:val="-2"/>
                <w:sz w:val="20"/>
                <w:szCs w:val="20"/>
              </w:rPr>
            </w:pPr>
            <w:r w:rsidRPr="00FD652F">
              <w:rPr>
                <w:rFonts w:ascii="Arial" w:hAnsi="Arial" w:cs="Arial"/>
                <w:spacing w:val="-2"/>
                <w:sz w:val="20"/>
                <w:szCs w:val="20"/>
              </w:rPr>
              <w:t>0.6</w:t>
            </w:r>
          </w:p>
        </w:tc>
        <w:tc>
          <w:tcPr>
            <w:tcW w:w="437" w:type="pct"/>
            <w:vAlign w:val="center"/>
          </w:tcPr>
          <w:p w14:paraId="7F07A86C" w14:textId="479D68D3"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spacing w:val="-2"/>
                <w:sz w:val="20"/>
                <w:szCs w:val="20"/>
              </w:rPr>
            </w:pPr>
            <w:r w:rsidRPr="00454E25">
              <w:rPr>
                <w:rFonts w:ascii="Arial" w:hAnsi="Arial" w:cs="Arial"/>
                <w:color w:val="FFC000" w:themeColor="accent4"/>
                <w:spacing w:val="-2"/>
                <w:sz w:val="20"/>
                <w:szCs w:val="20"/>
              </w:rPr>
              <w:t>0.</w:t>
            </w:r>
            <w:r w:rsidR="0044425B">
              <w:rPr>
                <w:rFonts w:ascii="Arial" w:hAnsi="Arial" w:cs="Arial"/>
                <w:color w:val="FFC000" w:themeColor="accent4"/>
                <w:spacing w:val="-2"/>
                <w:sz w:val="20"/>
                <w:szCs w:val="20"/>
              </w:rPr>
              <w:t>4</w:t>
            </w:r>
          </w:p>
        </w:tc>
        <w:tc>
          <w:tcPr>
            <w:tcW w:w="394" w:type="pct"/>
            <w:vAlign w:val="center"/>
          </w:tcPr>
          <w:p w14:paraId="63D53C9B" w14:textId="7D1333A2"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spacing w:val="-2"/>
                <w:sz w:val="20"/>
                <w:szCs w:val="20"/>
              </w:rPr>
            </w:pPr>
            <w:r w:rsidRPr="00FD652F">
              <w:rPr>
                <w:rFonts w:ascii="Arial" w:hAnsi="Arial" w:cs="Arial"/>
                <w:spacing w:val="-2"/>
                <w:sz w:val="20"/>
                <w:szCs w:val="20"/>
              </w:rPr>
              <w:t>0.5</w:t>
            </w:r>
          </w:p>
        </w:tc>
        <w:tc>
          <w:tcPr>
            <w:tcW w:w="394" w:type="pct"/>
          </w:tcPr>
          <w:p w14:paraId="0682EC71" w14:textId="64B0D851"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spacing w:val="-2"/>
                <w:sz w:val="20"/>
                <w:szCs w:val="20"/>
              </w:rPr>
            </w:pPr>
            <w:r>
              <w:rPr>
                <w:rFonts w:ascii="Arial" w:hAnsi="Arial" w:cs="Arial"/>
                <w:spacing w:val="-2"/>
                <w:sz w:val="20"/>
                <w:szCs w:val="20"/>
              </w:rPr>
              <w:t>0.6</w:t>
            </w:r>
          </w:p>
        </w:tc>
        <w:tc>
          <w:tcPr>
            <w:tcW w:w="394" w:type="pct"/>
          </w:tcPr>
          <w:p w14:paraId="67B54E44" w14:textId="6F678F0A" w:rsidR="00411AEB" w:rsidRPr="00FD652F" w:rsidRDefault="00411AEB" w:rsidP="00D73374">
            <w:pPr>
              <w:tabs>
                <w:tab w:val="left" w:pos="-720"/>
                <w:tab w:val="left" w:pos="0"/>
                <w:tab w:val="left" w:pos="1056"/>
                <w:tab w:val="left" w:pos="2160"/>
              </w:tabs>
              <w:suppressAutoHyphens/>
              <w:spacing w:before="90" w:after="54" w:line="276" w:lineRule="auto"/>
              <w:jc w:val="center"/>
              <w:rPr>
                <w:rFonts w:ascii="Arial" w:hAnsi="Arial" w:cs="Arial"/>
                <w:spacing w:val="-2"/>
                <w:sz w:val="20"/>
                <w:szCs w:val="20"/>
              </w:rPr>
            </w:pPr>
            <w:r>
              <w:rPr>
                <w:rFonts w:ascii="Arial" w:hAnsi="Arial" w:cs="Arial"/>
                <w:spacing w:val="-2"/>
                <w:sz w:val="20"/>
                <w:szCs w:val="20"/>
              </w:rPr>
              <w:t>0.7</w:t>
            </w:r>
          </w:p>
        </w:tc>
        <w:tc>
          <w:tcPr>
            <w:tcW w:w="309" w:type="pct"/>
          </w:tcPr>
          <w:p w14:paraId="7E8731C9" w14:textId="76519278" w:rsidR="00411AEB" w:rsidRPr="00FD652F" w:rsidRDefault="003E33BD" w:rsidP="00D73374">
            <w:pPr>
              <w:tabs>
                <w:tab w:val="left" w:pos="-720"/>
                <w:tab w:val="left" w:pos="0"/>
                <w:tab w:val="left" w:pos="1056"/>
                <w:tab w:val="left" w:pos="2160"/>
              </w:tabs>
              <w:suppressAutoHyphens/>
              <w:spacing w:before="90" w:after="54" w:line="276" w:lineRule="auto"/>
              <w:jc w:val="center"/>
              <w:rPr>
                <w:rFonts w:ascii="Arial" w:hAnsi="Arial" w:cs="Arial"/>
                <w:spacing w:val="-2"/>
                <w:sz w:val="20"/>
                <w:szCs w:val="20"/>
              </w:rPr>
            </w:pPr>
            <w:r>
              <w:rPr>
                <w:rFonts w:ascii="Arial" w:hAnsi="Arial" w:cs="Arial"/>
                <w:spacing w:val="-2"/>
                <w:sz w:val="20"/>
                <w:szCs w:val="20"/>
              </w:rPr>
              <w:t>0.7</w:t>
            </w:r>
          </w:p>
        </w:tc>
      </w:tr>
    </w:tbl>
    <w:bookmarkEnd w:id="17"/>
    <w:bookmarkEnd w:id="18"/>
    <w:bookmarkEnd w:id="19"/>
    <w:p w14:paraId="069C76A4" w14:textId="4F8EDFFB" w:rsidR="00FD652F" w:rsidRDefault="00FD652F" w:rsidP="00D73374">
      <w:pPr>
        <w:numPr>
          <w:ilvl w:val="0"/>
          <w:numId w:val="3"/>
        </w:numPr>
        <w:spacing w:before="240" w:after="200" w:line="276" w:lineRule="auto"/>
        <w:ind w:left="426"/>
        <w:rPr>
          <w:rFonts w:ascii="Arial" w:eastAsia="Times New Roman" w:hAnsi="Arial" w:cs="Arial"/>
        </w:rPr>
      </w:pPr>
      <w:r w:rsidRPr="00A40744">
        <w:rPr>
          <w:rFonts w:ascii="Arial" w:eastAsia="Times New Roman" w:hAnsi="Arial" w:cs="Arial"/>
        </w:rPr>
        <w:lastRenderedPageBreak/>
        <w:t>Table</w:t>
      </w:r>
      <w:r>
        <w:rPr>
          <w:rFonts w:ascii="Arial" w:eastAsia="Times New Roman" w:hAnsi="Arial" w:cs="Arial"/>
        </w:rPr>
        <w:t xml:space="preserve"> 4</w:t>
      </w:r>
      <w:r w:rsidR="00433091">
        <w:rPr>
          <w:rFonts w:ascii="Arial" w:eastAsia="Times New Roman" w:hAnsi="Arial" w:cs="Arial"/>
        </w:rPr>
        <w:t xml:space="preserve"> </w:t>
      </w:r>
      <w:r w:rsidRPr="00A40744">
        <w:rPr>
          <w:rFonts w:ascii="Arial" w:eastAsia="Times New Roman" w:hAnsi="Arial" w:cs="Arial"/>
        </w:rPr>
        <w:t xml:space="preserve">shows </w:t>
      </w:r>
      <w:r>
        <w:rPr>
          <w:rFonts w:ascii="Arial" w:eastAsia="Times New Roman" w:hAnsi="Arial" w:cs="Arial"/>
        </w:rPr>
        <w:t>l</w:t>
      </w:r>
      <w:r w:rsidR="00D506A3">
        <w:rPr>
          <w:rFonts w:ascii="Arial" w:eastAsia="Times New Roman" w:hAnsi="Arial" w:cs="Arial"/>
        </w:rPr>
        <w:t>andbank levels over the last eleven</w:t>
      </w:r>
      <w:r>
        <w:rPr>
          <w:rFonts w:ascii="Arial" w:eastAsia="Times New Roman" w:hAnsi="Arial" w:cs="Arial"/>
        </w:rPr>
        <w:t xml:space="preserve"> years. It excludes 2019</w:t>
      </w:r>
      <w:r w:rsidR="00906EE6">
        <w:rPr>
          <w:rFonts w:ascii="Arial" w:eastAsia="Times New Roman" w:hAnsi="Arial" w:cs="Arial"/>
        </w:rPr>
        <w:t xml:space="preserve"> </w:t>
      </w:r>
      <w:r w:rsidR="00906EE6" w:rsidRPr="00670237">
        <w:rPr>
          <w:rFonts w:ascii="Arial" w:eastAsia="Times New Roman" w:hAnsi="Arial" w:cs="Arial"/>
        </w:rPr>
        <w:t>data</w:t>
      </w:r>
      <w:r w:rsidR="00105DC0" w:rsidRPr="00670237">
        <w:rPr>
          <w:rFonts w:ascii="Arial" w:eastAsia="Times New Roman" w:hAnsi="Arial" w:cs="Arial"/>
        </w:rPr>
        <w:t xml:space="preserve"> and includes the year 201</w:t>
      </w:r>
      <w:r w:rsidR="00C46FD4">
        <w:rPr>
          <w:rFonts w:ascii="Arial" w:eastAsia="Times New Roman" w:hAnsi="Arial" w:cs="Arial"/>
        </w:rPr>
        <w:t>3</w:t>
      </w:r>
      <w:r w:rsidRPr="00670237">
        <w:rPr>
          <w:rFonts w:ascii="Arial" w:eastAsia="Times New Roman" w:hAnsi="Arial" w:cs="Arial"/>
        </w:rPr>
        <w:t>. The landbank</w:t>
      </w:r>
      <w:r w:rsidR="00906EE6" w:rsidRPr="00670237">
        <w:rPr>
          <w:rStyle w:val="FootnoteReference"/>
          <w:rFonts w:ascii="Arial" w:eastAsia="Times New Roman" w:hAnsi="Arial" w:cs="Arial"/>
        </w:rPr>
        <w:footnoteReference w:id="8"/>
      </w:r>
      <w:r w:rsidRPr="00670237">
        <w:rPr>
          <w:rFonts w:ascii="Arial" w:eastAsia="Times New Roman" w:hAnsi="Arial" w:cs="Arial"/>
        </w:rPr>
        <w:t xml:space="preserve"> is shown based on </w:t>
      </w:r>
      <w:proofErr w:type="gramStart"/>
      <w:r w:rsidRPr="00670237">
        <w:rPr>
          <w:rFonts w:ascii="Arial" w:eastAsia="Times New Roman" w:hAnsi="Arial" w:cs="Arial"/>
        </w:rPr>
        <w:t>ten year</w:t>
      </w:r>
      <w:proofErr w:type="gramEnd"/>
      <w:r w:rsidRPr="00670237">
        <w:rPr>
          <w:rFonts w:ascii="Arial" w:eastAsia="Times New Roman" w:hAnsi="Arial" w:cs="Arial"/>
        </w:rPr>
        <w:t xml:space="preserve"> average</w:t>
      </w:r>
      <w:r>
        <w:rPr>
          <w:rFonts w:ascii="Arial" w:eastAsia="Times New Roman" w:hAnsi="Arial" w:cs="Arial"/>
        </w:rPr>
        <w:t xml:space="preserve"> sales, three year average sales (to identify short t</w:t>
      </w:r>
      <w:r w:rsidR="00906EE6">
        <w:rPr>
          <w:rFonts w:ascii="Arial" w:eastAsia="Times New Roman" w:hAnsi="Arial" w:cs="Arial"/>
        </w:rPr>
        <w:t xml:space="preserve">erm fluctuations in supply) and </w:t>
      </w:r>
      <w:r>
        <w:rPr>
          <w:rFonts w:ascii="Arial" w:eastAsia="Times New Roman" w:hAnsi="Arial" w:cs="Arial"/>
        </w:rPr>
        <w:t xml:space="preserve">the fixed annual provision identified in the </w:t>
      </w:r>
      <w:r w:rsidR="00906EE6">
        <w:rPr>
          <w:rFonts w:ascii="Arial" w:eastAsia="Times New Roman" w:hAnsi="Arial" w:cs="Arial"/>
        </w:rPr>
        <w:t xml:space="preserve">adopted </w:t>
      </w:r>
      <w:r>
        <w:rPr>
          <w:rFonts w:ascii="Arial" w:eastAsia="Times New Roman" w:hAnsi="Arial" w:cs="Arial"/>
        </w:rPr>
        <w:t xml:space="preserve">Doncaster Local Plan. </w:t>
      </w:r>
      <w:r w:rsidR="00906EE6">
        <w:rPr>
          <w:rFonts w:ascii="Arial" w:eastAsia="Times New Roman" w:hAnsi="Arial" w:cs="Arial"/>
        </w:rPr>
        <w:t>In all scenarios the landbank</w:t>
      </w:r>
      <w:r w:rsidR="00454E25">
        <w:rPr>
          <w:rFonts w:ascii="Arial" w:eastAsia="Times New Roman" w:hAnsi="Arial" w:cs="Arial"/>
        </w:rPr>
        <w:t xml:space="preserve"> for </w:t>
      </w:r>
      <w:r w:rsidR="000A6367">
        <w:rPr>
          <w:rFonts w:ascii="Arial" w:eastAsia="Times New Roman" w:hAnsi="Arial" w:cs="Arial"/>
        </w:rPr>
        <w:t>202</w:t>
      </w:r>
      <w:r w:rsidR="00580868">
        <w:rPr>
          <w:rFonts w:ascii="Arial" w:eastAsia="Times New Roman" w:hAnsi="Arial" w:cs="Arial"/>
        </w:rPr>
        <w:t>3</w:t>
      </w:r>
      <w:r w:rsidR="00906EE6">
        <w:rPr>
          <w:rFonts w:ascii="Arial" w:eastAsia="Times New Roman" w:hAnsi="Arial" w:cs="Arial"/>
        </w:rPr>
        <w:t xml:space="preserve"> is wel</w:t>
      </w:r>
      <w:r w:rsidR="0043075E">
        <w:rPr>
          <w:rFonts w:ascii="Arial" w:eastAsia="Times New Roman" w:hAnsi="Arial" w:cs="Arial"/>
        </w:rPr>
        <w:t>l above seven years as required by</w:t>
      </w:r>
      <w:r w:rsidR="00906EE6">
        <w:rPr>
          <w:rFonts w:ascii="Arial" w:eastAsia="Times New Roman" w:hAnsi="Arial" w:cs="Arial"/>
        </w:rPr>
        <w:t xml:space="preserve"> national </w:t>
      </w:r>
      <w:proofErr w:type="gramStart"/>
      <w:r w:rsidR="00906EE6">
        <w:rPr>
          <w:rFonts w:ascii="Arial" w:eastAsia="Times New Roman" w:hAnsi="Arial" w:cs="Arial"/>
        </w:rPr>
        <w:t>policy</w:t>
      </w:r>
      <w:r w:rsidR="00AD6DA0">
        <w:rPr>
          <w:rFonts w:ascii="Arial" w:eastAsia="Times New Roman" w:hAnsi="Arial" w:cs="Arial"/>
        </w:rPr>
        <w:t>, but</w:t>
      </w:r>
      <w:proofErr w:type="gramEnd"/>
      <w:r w:rsidR="00AD6DA0">
        <w:rPr>
          <w:rFonts w:ascii="Arial" w:eastAsia="Times New Roman" w:hAnsi="Arial" w:cs="Arial"/>
        </w:rPr>
        <w:t xml:space="preserve"> is decreasing</w:t>
      </w:r>
      <w:r w:rsidR="00D405D5">
        <w:rPr>
          <w:rFonts w:ascii="Arial" w:eastAsia="Times New Roman" w:hAnsi="Arial" w:cs="Arial"/>
        </w:rPr>
        <w:t xml:space="preserve"> annually even with a new permission in 2023</w:t>
      </w:r>
      <w:r w:rsidR="00906EE6">
        <w:rPr>
          <w:rFonts w:ascii="Arial" w:eastAsia="Times New Roman" w:hAnsi="Arial" w:cs="Arial"/>
        </w:rPr>
        <w:t>.</w:t>
      </w:r>
      <w:r w:rsidR="0029750B" w:rsidRPr="0029750B">
        <w:t xml:space="preserve"> </w:t>
      </w:r>
      <w:r w:rsidR="0029750B">
        <w:rPr>
          <w:rFonts w:ascii="Arial" w:eastAsia="Times New Roman" w:hAnsi="Arial" w:cs="Arial"/>
        </w:rPr>
        <w:t>N</w:t>
      </w:r>
      <w:r w:rsidR="0029750B" w:rsidRPr="0029750B">
        <w:rPr>
          <w:rFonts w:ascii="Arial" w:eastAsia="Times New Roman" w:hAnsi="Arial" w:cs="Arial"/>
        </w:rPr>
        <w:t xml:space="preserve">ew permissions will </w:t>
      </w:r>
      <w:r w:rsidR="00C42C5D">
        <w:rPr>
          <w:rFonts w:ascii="Arial" w:eastAsia="Times New Roman" w:hAnsi="Arial" w:cs="Arial"/>
        </w:rPr>
        <w:t xml:space="preserve">therefore </w:t>
      </w:r>
      <w:r w:rsidR="0029750B" w:rsidRPr="0029750B">
        <w:rPr>
          <w:rFonts w:ascii="Arial" w:eastAsia="Times New Roman" w:hAnsi="Arial" w:cs="Arial"/>
        </w:rPr>
        <w:t>be required prior to 2030 to maintain suppl</w:t>
      </w:r>
      <w:r w:rsidR="0029750B">
        <w:rPr>
          <w:rFonts w:ascii="Arial" w:eastAsia="Times New Roman" w:hAnsi="Arial" w:cs="Arial"/>
        </w:rPr>
        <w:t>y.</w:t>
      </w:r>
      <w:r w:rsidR="00D2027C">
        <w:rPr>
          <w:rFonts w:ascii="Arial" w:eastAsia="Times New Roman" w:hAnsi="Arial" w:cs="Arial"/>
        </w:rPr>
        <w:t xml:space="preserve"> See </w:t>
      </w:r>
      <w:r w:rsidR="00E8749F">
        <w:rPr>
          <w:rFonts w:ascii="Arial" w:eastAsia="Times New Roman" w:hAnsi="Arial" w:cs="Arial"/>
        </w:rPr>
        <w:t xml:space="preserve">also </w:t>
      </w:r>
      <w:r w:rsidR="00D2027C">
        <w:rPr>
          <w:rFonts w:ascii="Arial" w:eastAsia="Times New Roman" w:hAnsi="Arial" w:cs="Arial"/>
        </w:rPr>
        <w:t>executive summary (page 2 of this document).</w:t>
      </w:r>
      <w:r w:rsidR="00906EE6">
        <w:rPr>
          <w:rFonts w:ascii="Arial" w:eastAsia="Times New Roman" w:hAnsi="Arial" w:cs="Arial"/>
        </w:rPr>
        <w:t xml:space="preserve"> </w:t>
      </w:r>
      <w:r>
        <w:rPr>
          <w:rFonts w:ascii="Arial" w:eastAsia="Times New Roman" w:hAnsi="Arial" w:cs="Arial"/>
        </w:rPr>
        <w:t xml:space="preserve"> </w:t>
      </w:r>
    </w:p>
    <w:p w14:paraId="3B802E6C" w14:textId="3CB43EB2" w:rsidR="00FD652F" w:rsidRPr="00A40744" w:rsidRDefault="00FD652F" w:rsidP="00D73374">
      <w:pPr>
        <w:pStyle w:val="Sub-heading"/>
        <w:spacing w:line="276" w:lineRule="auto"/>
        <w:jc w:val="left"/>
        <w:outlineLvl w:val="1"/>
        <w:rPr>
          <w:color w:val="auto"/>
          <w:sz w:val="22"/>
          <w:szCs w:val="22"/>
        </w:rPr>
      </w:pPr>
      <w:bookmarkStart w:id="20" w:name="_Toc473105745"/>
      <w:bookmarkStart w:id="21" w:name="_Toc500147119"/>
      <w:bookmarkStart w:id="22" w:name="_Toc522792093"/>
      <w:bookmarkStart w:id="23" w:name="_Toc198549800"/>
      <w:r>
        <w:rPr>
          <w:color w:val="auto"/>
          <w:sz w:val="22"/>
          <w:szCs w:val="22"/>
        </w:rPr>
        <w:t>Table 4</w:t>
      </w:r>
      <w:r w:rsidR="006277C1">
        <w:rPr>
          <w:color w:val="auto"/>
          <w:sz w:val="22"/>
          <w:szCs w:val="22"/>
        </w:rPr>
        <w:t>.</w:t>
      </w:r>
      <w:r w:rsidRPr="00A40744">
        <w:rPr>
          <w:color w:val="auto"/>
          <w:sz w:val="22"/>
          <w:szCs w:val="22"/>
        </w:rPr>
        <w:t xml:space="preserve"> Reserves </w:t>
      </w:r>
      <w:r w:rsidR="00ED6723">
        <w:rPr>
          <w:color w:val="auto"/>
          <w:sz w:val="22"/>
          <w:szCs w:val="22"/>
        </w:rPr>
        <w:t xml:space="preserve">and Landbank </w:t>
      </w:r>
      <w:r w:rsidRPr="00A40744">
        <w:rPr>
          <w:color w:val="auto"/>
          <w:sz w:val="22"/>
          <w:szCs w:val="22"/>
        </w:rPr>
        <w:t xml:space="preserve">of </w:t>
      </w:r>
      <w:r w:rsidR="00ED6723" w:rsidRPr="00B9205D">
        <w:rPr>
          <w:color w:val="auto"/>
          <w:sz w:val="22"/>
          <w:szCs w:val="22"/>
        </w:rPr>
        <w:t>Aggregate</w:t>
      </w:r>
      <w:r w:rsidR="00ED6723" w:rsidRPr="00A40744">
        <w:rPr>
          <w:color w:val="auto"/>
          <w:sz w:val="22"/>
          <w:szCs w:val="22"/>
        </w:rPr>
        <w:t xml:space="preserve"> </w:t>
      </w:r>
      <w:r w:rsidRPr="00A40744">
        <w:rPr>
          <w:color w:val="auto"/>
          <w:sz w:val="22"/>
          <w:szCs w:val="22"/>
        </w:rPr>
        <w:t>Sand and Gravel</w:t>
      </w:r>
      <w:bookmarkEnd w:id="20"/>
      <w:bookmarkEnd w:id="21"/>
      <w:bookmarkEnd w:id="22"/>
      <w:bookmarkEnd w:id="23"/>
      <w:r w:rsidRPr="00A40744">
        <w:rPr>
          <w:color w:val="auto"/>
          <w:sz w:val="22"/>
          <w:szCs w:val="22"/>
        </w:rPr>
        <w:t xml:space="preserve"> </w:t>
      </w:r>
    </w:p>
    <w:tbl>
      <w:tblPr>
        <w:tblW w:w="5000" w:type="pct"/>
        <w:tblLook w:val="04A0" w:firstRow="1" w:lastRow="0" w:firstColumn="1" w:lastColumn="0" w:noHBand="0" w:noVBand="1"/>
        <w:tblCaption w:val="Reserves and Landbank of Aggregate Sand and Gravel "/>
        <w:tblDescription w:val="Reserves and Landbank of Aggregate Sand and Gravel "/>
      </w:tblPr>
      <w:tblGrid>
        <w:gridCol w:w="1802"/>
        <w:gridCol w:w="1801"/>
        <w:gridCol w:w="1801"/>
        <w:gridCol w:w="1801"/>
        <w:gridCol w:w="1801"/>
      </w:tblGrid>
      <w:tr w:rsidR="00FD652F" w:rsidRPr="00D4489C" w14:paraId="72E496C4" w14:textId="77777777" w:rsidTr="005C4CAD">
        <w:trPr>
          <w:trHeight w:val="315"/>
          <w:tblHeader/>
        </w:trPr>
        <w:tc>
          <w:tcPr>
            <w:tcW w:w="1000" w:type="pct"/>
            <w:tcBorders>
              <w:top w:val="single" w:sz="8" w:space="0" w:color="auto"/>
              <w:left w:val="single" w:sz="8" w:space="0" w:color="auto"/>
              <w:bottom w:val="single" w:sz="8" w:space="0" w:color="auto"/>
              <w:right w:val="single" w:sz="8" w:space="0" w:color="auto"/>
            </w:tcBorders>
            <w:shd w:val="clear" w:color="000000" w:fill="F2F2F2"/>
            <w:vAlign w:val="center"/>
            <w:hideMark/>
          </w:tcPr>
          <w:p w14:paraId="3F81C296" w14:textId="77777777" w:rsidR="00FD652F" w:rsidRPr="00D4489C" w:rsidRDefault="00FD652F" w:rsidP="00D73374">
            <w:pPr>
              <w:spacing w:line="276" w:lineRule="auto"/>
              <w:rPr>
                <w:rFonts w:eastAsia="Times New Roman" w:cstheme="minorHAnsi"/>
                <w:b/>
                <w:bCs/>
                <w:color w:val="000000"/>
                <w:lang w:eastAsia="en-GB"/>
              </w:rPr>
            </w:pPr>
            <w:r w:rsidRPr="00D4489C">
              <w:rPr>
                <w:rFonts w:eastAsia="Times New Roman" w:cstheme="minorHAnsi"/>
                <w:b/>
                <w:bCs/>
                <w:color w:val="000000"/>
                <w:lang w:eastAsia="en-GB"/>
              </w:rPr>
              <w:t> </w:t>
            </w:r>
          </w:p>
        </w:tc>
        <w:tc>
          <w:tcPr>
            <w:tcW w:w="3000" w:type="pct"/>
            <w:gridSpan w:val="3"/>
            <w:tcBorders>
              <w:top w:val="single" w:sz="8" w:space="0" w:color="auto"/>
              <w:left w:val="nil"/>
              <w:bottom w:val="single" w:sz="8" w:space="0" w:color="auto"/>
              <w:right w:val="single" w:sz="8" w:space="0" w:color="000000"/>
            </w:tcBorders>
            <w:shd w:val="clear" w:color="000000" w:fill="F2F2F2"/>
            <w:vAlign w:val="center"/>
            <w:hideMark/>
          </w:tcPr>
          <w:p w14:paraId="7012CB7B" w14:textId="77777777" w:rsidR="00FD652F" w:rsidRPr="00D4489C" w:rsidRDefault="00FD652F" w:rsidP="00D73374">
            <w:pPr>
              <w:spacing w:line="276" w:lineRule="auto"/>
              <w:jc w:val="center"/>
              <w:rPr>
                <w:rFonts w:eastAsia="Times New Roman" w:cstheme="minorHAnsi"/>
                <w:b/>
                <w:bCs/>
                <w:color w:val="000000"/>
                <w:lang w:eastAsia="en-GB"/>
              </w:rPr>
            </w:pPr>
            <w:r w:rsidRPr="00D4489C">
              <w:rPr>
                <w:rFonts w:eastAsia="Times New Roman" w:cstheme="minorHAnsi"/>
                <w:b/>
                <w:bCs/>
                <w:color w:val="000000"/>
                <w:lang w:eastAsia="en-GB"/>
              </w:rPr>
              <w:t>Sand and Gravel</w:t>
            </w:r>
          </w:p>
        </w:tc>
        <w:tc>
          <w:tcPr>
            <w:tcW w:w="1000" w:type="pct"/>
            <w:tcBorders>
              <w:top w:val="single" w:sz="8" w:space="0" w:color="auto"/>
              <w:left w:val="nil"/>
              <w:bottom w:val="single" w:sz="8" w:space="0" w:color="auto"/>
              <w:right w:val="single" w:sz="8" w:space="0" w:color="auto"/>
            </w:tcBorders>
            <w:shd w:val="clear" w:color="000000" w:fill="F2F2F2"/>
            <w:vAlign w:val="center"/>
            <w:hideMark/>
          </w:tcPr>
          <w:p w14:paraId="1C152978" w14:textId="77777777" w:rsidR="00FD652F" w:rsidRPr="00D4489C" w:rsidRDefault="00FD652F" w:rsidP="00D73374">
            <w:pPr>
              <w:spacing w:line="276" w:lineRule="auto"/>
              <w:rPr>
                <w:rFonts w:eastAsia="Times New Roman" w:cstheme="minorHAnsi"/>
                <w:b/>
                <w:bCs/>
                <w:color w:val="000000"/>
                <w:lang w:eastAsia="en-GB"/>
              </w:rPr>
            </w:pPr>
            <w:r w:rsidRPr="00D4489C">
              <w:rPr>
                <w:rFonts w:eastAsia="Times New Roman" w:cstheme="minorHAnsi"/>
                <w:b/>
                <w:bCs/>
                <w:color w:val="000000"/>
                <w:lang w:eastAsia="en-GB"/>
              </w:rPr>
              <w:t> </w:t>
            </w:r>
          </w:p>
        </w:tc>
      </w:tr>
      <w:tr w:rsidR="00FD652F" w:rsidRPr="00D4489C" w14:paraId="3DFAE961" w14:textId="77777777" w:rsidTr="005C4CAD">
        <w:trPr>
          <w:trHeight w:val="1035"/>
          <w:tblHeader/>
        </w:trPr>
        <w:tc>
          <w:tcPr>
            <w:tcW w:w="1000" w:type="pct"/>
            <w:tcBorders>
              <w:top w:val="nil"/>
              <w:left w:val="single" w:sz="8" w:space="0" w:color="auto"/>
              <w:bottom w:val="single" w:sz="8" w:space="0" w:color="auto"/>
              <w:right w:val="single" w:sz="8" w:space="0" w:color="auto"/>
            </w:tcBorders>
            <w:shd w:val="clear" w:color="000000" w:fill="F2F2F2"/>
            <w:vAlign w:val="center"/>
            <w:hideMark/>
          </w:tcPr>
          <w:p w14:paraId="4678C38E" w14:textId="77777777" w:rsidR="00FD652F" w:rsidRPr="00D4489C" w:rsidRDefault="00FD652F" w:rsidP="00D73374">
            <w:pPr>
              <w:spacing w:line="276" w:lineRule="auto"/>
              <w:rPr>
                <w:rFonts w:eastAsia="Times New Roman" w:cstheme="minorHAnsi"/>
                <w:b/>
                <w:bCs/>
                <w:color w:val="000000"/>
                <w:lang w:eastAsia="en-GB"/>
              </w:rPr>
            </w:pPr>
            <w:r w:rsidRPr="00D4489C">
              <w:rPr>
                <w:rFonts w:eastAsia="Times New Roman" w:cstheme="minorHAnsi"/>
                <w:b/>
                <w:bCs/>
                <w:color w:val="000000"/>
                <w:lang w:eastAsia="en-GB"/>
              </w:rPr>
              <w:t xml:space="preserve"> Year </w:t>
            </w:r>
          </w:p>
        </w:tc>
        <w:tc>
          <w:tcPr>
            <w:tcW w:w="1000" w:type="pct"/>
            <w:tcBorders>
              <w:top w:val="nil"/>
              <w:left w:val="nil"/>
              <w:bottom w:val="single" w:sz="8" w:space="0" w:color="auto"/>
              <w:right w:val="single" w:sz="8" w:space="0" w:color="auto"/>
            </w:tcBorders>
            <w:shd w:val="clear" w:color="000000" w:fill="F2F2F2"/>
            <w:vAlign w:val="center"/>
            <w:hideMark/>
          </w:tcPr>
          <w:p w14:paraId="21F2FD39" w14:textId="77777777" w:rsidR="00FD652F" w:rsidRPr="00D4489C" w:rsidRDefault="00FD652F" w:rsidP="00D73374">
            <w:pPr>
              <w:spacing w:line="276" w:lineRule="auto"/>
              <w:jc w:val="center"/>
              <w:rPr>
                <w:rFonts w:eastAsia="Times New Roman" w:cstheme="minorHAnsi"/>
                <w:b/>
                <w:bCs/>
                <w:color w:val="000000"/>
                <w:lang w:eastAsia="en-GB"/>
              </w:rPr>
            </w:pPr>
            <w:r w:rsidRPr="00D4489C">
              <w:rPr>
                <w:rFonts w:eastAsia="Times New Roman" w:cstheme="minorHAnsi"/>
                <w:b/>
                <w:bCs/>
                <w:color w:val="000000"/>
                <w:lang w:eastAsia="en-GB"/>
              </w:rPr>
              <w:t>Reserve (Mt)</w:t>
            </w:r>
          </w:p>
        </w:tc>
        <w:tc>
          <w:tcPr>
            <w:tcW w:w="1000" w:type="pct"/>
            <w:tcBorders>
              <w:top w:val="nil"/>
              <w:left w:val="nil"/>
              <w:bottom w:val="single" w:sz="8" w:space="0" w:color="auto"/>
              <w:right w:val="single" w:sz="8" w:space="0" w:color="auto"/>
            </w:tcBorders>
            <w:shd w:val="clear" w:color="000000" w:fill="F2F2F2"/>
            <w:vAlign w:val="center"/>
            <w:hideMark/>
          </w:tcPr>
          <w:p w14:paraId="01E936FF" w14:textId="77777777" w:rsidR="00FD652F" w:rsidRPr="00D4489C" w:rsidRDefault="00FD652F" w:rsidP="00D73374">
            <w:pPr>
              <w:spacing w:line="276" w:lineRule="auto"/>
              <w:jc w:val="center"/>
              <w:rPr>
                <w:rFonts w:eastAsia="Times New Roman" w:cstheme="minorHAnsi"/>
                <w:b/>
                <w:bCs/>
                <w:color w:val="000000"/>
                <w:lang w:eastAsia="en-GB"/>
              </w:rPr>
            </w:pPr>
            <w:r w:rsidRPr="00D4489C">
              <w:rPr>
                <w:rFonts w:eastAsia="Times New Roman" w:cstheme="minorHAnsi"/>
                <w:b/>
                <w:bCs/>
                <w:color w:val="000000"/>
                <w:lang w:eastAsia="en-GB"/>
              </w:rPr>
              <w:t xml:space="preserve">Landbank </w:t>
            </w:r>
            <w:r w:rsidRPr="00D4489C">
              <w:rPr>
                <w:rFonts w:eastAsia="Times New Roman" w:cstheme="minorHAnsi"/>
                <w:b/>
                <w:bCs/>
                <w:color w:val="000000"/>
                <w:sz w:val="18"/>
                <w:szCs w:val="18"/>
                <w:lang w:eastAsia="en-GB"/>
              </w:rPr>
              <w:t xml:space="preserve">(yrs) (based on </w:t>
            </w:r>
            <w:proofErr w:type="gramStart"/>
            <w:r w:rsidRPr="00D4489C">
              <w:rPr>
                <w:rFonts w:eastAsia="Times New Roman" w:cstheme="minorHAnsi"/>
                <w:b/>
                <w:bCs/>
                <w:color w:val="000000"/>
                <w:sz w:val="18"/>
                <w:szCs w:val="18"/>
                <w:lang w:eastAsia="en-GB"/>
              </w:rPr>
              <w:t>10 year</w:t>
            </w:r>
            <w:proofErr w:type="gramEnd"/>
            <w:r w:rsidRPr="00D4489C">
              <w:rPr>
                <w:rFonts w:eastAsia="Times New Roman" w:cstheme="minorHAnsi"/>
                <w:b/>
                <w:bCs/>
                <w:color w:val="000000"/>
                <w:sz w:val="18"/>
                <w:szCs w:val="18"/>
                <w:lang w:eastAsia="en-GB"/>
              </w:rPr>
              <w:t xml:space="preserve"> average sales)</w:t>
            </w:r>
          </w:p>
        </w:tc>
        <w:tc>
          <w:tcPr>
            <w:tcW w:w="1000" w:type="pct"/>
            <w:tcBorders>
              <w:top w:val="nil"/>
              <w:left w:val="nil"/>
              <w:bottom w:val="single" w:sz="8" w:space="0" w:color="auto"/>
              <w:right w:val="single" w:sz="8" w:space="0" w:color="auto"/>
            </w:tcBorders>
            <w:shd w:val="clear" w:color="000000" w:fill="F2F2F2"/>
            <w:vAlign w:val="center"/>
            <w:hideMark/>
          </w:tcPr>
          <w:p w14:paraId="6AEF8C75" w14:textId="77777777" w:rsidR="00FD652F" w:rsidRPr="00D4489C" w:rsidRDefault="00FD652F" w:rsidP="00D73374">
            <w:pPr>
              <w:spacing w:line="276" w:lineRule="auto"/>
              <w:jc w:val="center"/>
              <w:rPr>
                <w:rFonts w:eastAsia="Times New Roman" w:cstheme="minorHAnsi"/>
                <w:b/>
                <w:bCs/>
                <w:color w:val="808080"/>
                <w:lang w:eastAsia="en-GB"/>
              </w:rPr>
            </w:pPr>
            <w:r w:rsidRPr="00D4489C">
              <w:rPr>
                <w:rFonts w:eastAsia="Times New Roman" w:cstheme="minorHAnsi"/>
                <w:b/>
                <w:bCs/>
                <w:color w:val="808080"/>
                <w:lang w:eastAsia="en-GB"/>
              </w:rPr>
              <w:t xml:space="preserve">Landbank </w:t>
            </w:r>
            <w:r w:rsidRPr="00D4489C">
              <w:rPr>
                <w:rFonts w:eastAsia="Times New Roman" w:cstheme="minorHAnsi"/>
                <w:b/>
                <w:bCs/>
                <w:color w:val="808080"/>
                <w:sz w:val="18"/>
                <w:szCs w:val="18"/>
                <w:lang w:eastAsia="en-GB"/>
              </w:rPr>
              <w:t xml:space="preserve">(yrs) (based on </w:t>
            </w:r>
            <w:proofErr w:type="gramStart"/>
            <w:r w:rsidRPr="00D4489C">
              <w:rPr>
                <w:rFonts w:eastAsia="Times New Roman" w:cstheme="minorHAnsi"/>
                <w:b/>
                <w:bCs/>
                <w:color w:val="808080"/>
                <w:sz w:val="18"/>
                <w:szCs w:val="18"/>
                <w:lang w:eastAsia="en-GB"/>
              </w:rPr>
              <w:t>3 year</w:t>
            </w:r>
            <w:proofErr w:type="gramEnd"/>
            <w:r w:rsidRPr="00D4489C">
              <w:rPr>
                <w:rFonts w:eastAsia="Times New Roman" w:cstheme="minorHAnsi"/>
                <w:b/>
                <w:bCs/>
                <w:color w:val="808080"/>
                <w:sz w:val="18"/>
                <w:szCs w:val="18"/>
                <w:lang w:eastAsia="en-GB"/>
              </w:rPr>
              <w:t xml:space="preserve"> average sales)</w:t>
            </w:r>
          </w:p>
        </w:tc>
        <w:tc>
          <w:tcPr>
            <w:tcW w:w="1000" w:type="pct"/>
            <w:tcBorders>
              <w:top w:val="nil"/>
              <w:left w:val="nil"/>
              <w:bottom w:val="single" w:sz="8" w:space="0" w:color="auto"/>
              <w:right w:val="single" w:sz="8" w:space="0" w:color="auto"/>
            </w:tcBorders>
            <w:shd w:val="clear" w:color="000000" w:fill="F2F2F2"/>
            <w:vAlign w:val="center"/>
            <w:hideMark/>
          </w:tcPr>
          <w:p w14:paraId="02EC4AB6" w14:textId="77777777" w:rsidR="00FD652F" w:rsidRPr="00D4489C" w:rsidRDefault="00FD652F" w:rsidP="00D73374">
            <w:pPr>
              <w:spacing w:line="276" w:lineRule="auto"/>
              <w:jc w:val="center"/>
              <w:rPr>
                <w:rFonts w:eastAsia="Times New Roman" w:cstheme="minorHAnsi"/>
                <w:b/>
                <w:bCs/>
                <w:color w:val="808080"/>
                <w:sz w:val="20"/>
                <w:szCs w:val="20"/>
                <w:lang w:eastAsia="en-GB"/>
              </w:rPr>
            </w:pPr>
            <w:r w:rsidRPr="00D4489C">
              <w:rPr>
                <w:rFonts w:eastAsia="Times New Roman" w:cstheme="minorHAnsi"/>
                <w:b/>
                <w:bCs/>
                <w:lang w:eastAsia="en-GB"/>
              </w:rPr>
              <w:t>Landbank (yrs)</w:t>
            </w:r>
            <w:r w:rsidRPr="00D4489C">
              <w:rPr>
                <w:rFonts w:eastAsia="Times New Roman" w:cstheme="minorHAnsi"/>
                <w:b/>
                <w:bCs/>
                <w:sz w:val="20"/>
                <w:szCs w:val="20"/>
                <w:lang w:eastAsia="en-GB"/>
              </w:rPr>
              <w:t xml:space="preserve"> </w:t>
            </w:r>
            <w:r w:rsidRPr="00D4489C">
              <w:rPr>
                <w:rFonts w:eastAsia="Times New Roman" w:cstheme="minorHAnsi"/>
                <w:b/>
                <w:bCs/>
                <w:sz w:val="18"/>
                <w:szCs w:val="18"/>
                <w:lang w:eastAsia="en-GB"/>
              </w:rPr>
              <w:t>based on Local Plan fixed annual provision (0.42Mt)</w:t>
            </w:r>
          </w:p>
        </w:tc>
      </w:tr>
      <w:tr w:rsidR="00FD652F" w:rsidRPr="00D4489C" w14:paraId="385B771C" w14:textId="77777777" w:rsidTr="005C4CAD">
        <w:trPr>
          <w:trHeight w:val="315"/>
          <w:tblHeader/>
        </w:trPr>
        <w:tc>
          <w:tcPr>
            <w:tcW w:w="1000" w:type="pct"/>
            <w:tcBorders>
              <w:top w:val="nil"/>
              <w:left w:val="single" w:sz="8" w:space="0" w:color="auto"/>
              <w:bottom w:val="single" w:sz="8" w:space="0" w:color="auto"/>
              <w:right w:val="single" w:sz="8" w:space="0" w:color="auto"/>
            </w:tcBorders>
            <w:shd w:val="clear" w:color="auto" w:fill="auto"/>
            <w:noWrap/>
            <w:vAlign w:val="bottom"/>
            <w:hideMark/>
          </w:tcPr>
          <w:p w14:paraId="274278F6" w14:textId="77777777" w:rsidR="00FD652F" w:rsidRPr="00D4489C" w:rsidRDefault="00FD652F" w:rsidP="00D73374">
            <w:pPr>
              <w:spacing w:line="276" w:lineRule="auto"/>
              <w:rPr>
                <w:rFonts w:eastAsia="Times New Roman" w:cstheme="minorHAnsi"/>
                <w:color w:val="000000"/>
                <w:lang w:eastAsia="en-GB"/>
              </w:rPr>
            </w:pPr>
            <w:r w:rsidRPr="00D4489C">
              <w:rPr>
                <w:rFonts w:eastAsia="Times New Roman" w:cstheme="minorHAnsi"/>
                <w:color w:val="000000"/>
                <w:lang w:eastAsia="en-GB"/>
              </w:rPr>
              <w:t>2013</w:t>
            </w:r>
          </w:p>
        </w:tc>
        <w:tc>
          <w:tcPr>
            <w:tcW w:w="1000" w:type="pct"/>
            <w:tcBorders>
              <w:top w:val="nil"/>
              <w:left w:val="nil"/>
              <w:bottom w:val="single" w:sz="8" w:space="0" w:color="auto"/>
              <w:right w:val="single" w:sz="8" w:space="0" w:color="auto"/>
            </w:tcBorders>
            <w:shd w:val="clear" w:color="auto" w:fill="auto"/>
            <w:noWrap/>
            <w:vAlign w:val="center"/>
            <w:hideMark/>
          </w:tcPr>
          <w:p w14:paraId="3C273163" w14:textId="77777777" w:rsidR="00FD652F" w:rsidRPr="00D4489C" w:rsidRDefault="00FD652F" w:rsidP="00D73374">
            <w:pPr>
              <w:spacing w:line="276" w:lineRule="auto"/>
              <w:jc w:val="center"/>
              <w:rPr>
                <w:rFonts w:eastAsia="Times New Roman" w:cstheme="minorHAnsi"/>
                <w:color w:val="000000"/>
                <w:lang w:eastAsia="en-GB"/>
              </w:rPr>
            </w:pPr>
            <w:r w:rsidRPr="00D4489C">
              <w:rPr>
                <w:rFonts w:eastAsia="Times New Roman" w:cstheme="minorHAnsi"/>
                <w:color w:val="000000"/>
                <w:lang w:eastAsia="en-GB"/>
              </w:rPr>
              <w:t>4.1</w:t>
            </w:r>
          </w:p>
        </w:tc>
        <w:tc>
          <w:tcPr>
            <w:tcW w:w="1000" w:type="pct"/>
            <w:tcBorders>
              <w:top w:val="nil"/>
              <w:left w:val="nil"/>
              <w:bottom w:val="single" w:sz="8" w:space="0" w:color="auto"/>
              <w:right w:val="single" w:sz="8" w:space="0" w:color="auto"/>
            </w:tcBorders>
            <w:shd w:val="clear" w:color="auto" w:fill="auto"/>
            <w:noWrap/>
            <w:vAlign w:val="center"/>
            <w:hideMark/>
          </w:tcPr>
          <w:p w14:paraId="469E6966" w14:textId="77777777" w:rsidR="00FD652F" w:rsidRPr="00D4489C" w:rsidRDefault="00FD652F" w:rsidP="00D73374">
            <w:pPr>
              <w:spacing w:line="276" w:lineRule="auto"/>
              <w:jc w:val="center"/>
              <w:rPr>
                <w:rFonts w:eastAsia="Times New Roman" w:cstheme="minorHAnsi"/>
                <w:color w:val="000000"/>
                <w:lang w:eastAsia="en-GB"/>
              </w:rPr>
            </w:pPr>
            <w:r w:rsidRPr="00D4489C">
              <w:rPr>
                <w:rFonts w:eastAsia="Times New Roman" w:cstheme="minorHAnsi"/>
                <w:color w:val="000000"/>
                <w:lang w:eastAsia="en-GB"/>
              </w:rPr>
              <w:t>11.5</w:t>
            </w:r>
          </w:p>
        </w:tc>
        <w:tc>
          <w:tcPr>
            <w:tcW w:w="1000" w:type="pct"/>
            <w:tcBorders>
              <w:top w:val="nil"/>
              <w:left w:val="nil"/>
              <w:bottom w:val="single" w:sz="8" w:space="0" w:color="auto"/>
              <w:right w:val="single" w:sz="8" w:space="0" w:color="auto"/>
            </w:tcBorders>
            <w:shd w:val="clear" w:color="000000" w:fill="0D0D0D"/>
            <w:vAlign w:val="center"/>
            <w:hideMark/>
          </w:tcPr>
          <w:p w14:paraId="463E3E01" w14:textId="77777777" w:rsidR="00FD652F" w:rsidRPr="00D4489C" w:rsidRDefault="00FD652F" w:rsidP="00D73374">
            <w:pPr>
              <w:spacing w:line="276" w:lineRule="auto"/>
              <w:jc w:val="center"/>
              <w:rPr>
                <w:rFonts w:eastAsia="Times New Roman" w:cstheme="minorHAnsi"/>
                <w:color w:val="808080"/>
                <w:lang w:eastAsia="en-GB"/>
              </w:rPr>
            </w:pPr>
            <w:r w:rsidRPr="00D4489C">
              <w:rPr>
                <w:rFonts w:eastAsia="Times New Roman" w:cstheme="minorHAnsi"/>
                <w:color w:val="808080"/>
                <w:lang w:eastAsia="en-GB"/>
              </w:rPr>
              <w:t> </w:t>
            </w:r>
          </w:p>
        </w:tc>
        <w:tc>
          <w:tcPr>
            <w:tcW w:w="1000" w:type="pct"/>
            <w:tcBorders>
              <w:top w:val="nil"/>
              <w:left w:val="nil"/>
              <w:bottom w:val="single" w:sz="8" w:space="0" w:color="auto"/>
              <w:right w:val="single" w:sz="8" w:space="0" w:color="auto"/>
            </w:tcBorders>
            <w:shd w:val="clear" w:color="000000" w:fill="0D0D0D"/>
            <w:vAlign w:val="center"/>
            <w:hideMark/>
          </w:tcPr>
          <w:p w14:paraId="5CDD7EEF" w14:textId="77777777" w:rsidR="00FD652F" w:rsidRPr="00D4489C" w:rsidRDefault="00FD652F" w:rsidP="00D73374">
            <w:pPr>
              <w:spacing w:line="276" w:lineRule="auto"/>
              <w:jc w:val="center"/>
              <w:rPr>
                <w:rFonts w:eastAsia="Times New Roman" w:cstheme="minorHAnsi"/>
                <w:color w:val="808080"/>
                <w:lang w:eastAsia="en-GB"/>
              </w:rPr>
            </w:pPr>
            <w:r w:rsidRPr="00D4489C">
              <w:rPr>
                <w:rFonts w:eastAsia="Times New Roman" w:cstheme="minorHAnsi"/>
                <w:color w:val="808080"/>
                <w:lang w:eastAsia="en-GB"/>
              </w:rPr>
              <w:t> </w:t>
            </w:r>
          </w:p>
        </w:tc>
      </w:tr>
      <w:tr w:rsidR="00FD652F" w:rsidRPr="00D4489C" w14:paraId="5195B621" w14:textId="77777777" w:rsidTr="005C4CAD">
        <w:trPr>
          <w:trHeight w:val="315"/>
          <w:tblHeader/>
        </w:trPr>
        <w:tc>
          <w:tcPr>
            <w:tcW w:w="1000" w:type="pct"/>
            <w:tcBorders>
              <w:top w:val="nil"/>
              <w:left w:val="single" w:sz="8" w:space="0" w:color="auto"/>
              <w:bottom w:val="single" w:sz="8" w:space="0" w:color="auto"/>
              <w:right w:val="single" w:sz="8" w:space="0" w:color="auto"/>
            </w:tcBorders>
            <w:shd w:val="clear" w:color="auto" w:fill="auto"/>
            <w:noWrap/>
            <w:vAlign w:val="bottom"/>
            <w:hideMark/>
          </w:tcPr>
          <w:p w14:paraId="27F5304F" w14:textId="77777777" w:rsidR="00FD652F" w:rsidRPr="00D4489C" w:rsidRDefault="00FD652F" w:rsidP="00D73374">
            <w:pPr>
              <w:spacing w:line="276" w:lineRule="auto"/>
              <w:rPr>
                <w:rFonts w:eastAsia="Times New Roman" w:cstheme="minorHAnsi"/>
                <w:color w:val="000000"/>
                <w:lang w:eastAsia="en-GB"/>
              </w:rPr>
            </w:pPr>
            <w:r w:rsidRPr="00D4489C">
              <w:rPr>
                <w:rFonts w:eastAsia="Times New Roman" w:cstheme="minorHAnsi"/>
                <w:color w:val="000000"/>
                <w:lang w:eastAsia="en-GB"/>
              </w:rPr>
              <w:t>2014</w:t>
            </w:r>
          </w:p>
        </w:tc>
        <w:tc>
          <w:tcPr>
            <w:tcW w:w="1000" w:type="pct"/>
            <w:tcBorders>
              <w:top w:val="nil"/>
              <w:left w:val="nil"/>
              <w:bottom w:val="single" w:sz="8" w:space="0" w:color="auto"/>
              <w:right w:val="single" w:sz="8" w:space="0" w:color="auto"/>
            </w:tcBorders>
            <w:shd w:val="clear" w:color="auto" w:fill="auto"/>
            <w:noWrap/>
            <w:vAlign w:val="center"/>
            <w:hideMark/>
          </w:tcPr>
          <w:p w14:paraId="044B16F4" w14:textId="77777777" w:rsidR="00FD652F" w:rsidRPr="00D4489C" w:rsidRDefault="00FD652F" w:rsidP="00D73374">
            <w:pPr>
              <w:spacing w:line="276" w:lineRule="auto"/>
              <w:jc w:val="center"/>
              <w:rPr>
                <w:rFonts w:eastAsia="Times New Roman" w:cstheme="minorHAnsi"/>
                <w:color w:val="000000"/>
                <w:lang w:eastAsia="en-GB"/>
              </w:rPr>
            </w:pPr>
            <w:r w:rsidRPr="00D4489C">
              <w:rPr>
                <w:rFonts w:eastAsia="Times New Roman" w:cstheme="minorHAnsi"/>
                <w:color w:val="000000"/>
                <w:lang w:eastAsia="en-GB"/>
              </w:rPr>
              <w:t>2.3</w:t>
            </w:r>
          </w:p>
        </w:tc>
        <w:tc>
          <w:tcPr>
            <w:tcW w:w="1000" w:type="pct"/>
            <w:tcBorders>
              <w:top w:val="nil"/>
              <w:left w:val="nil"/>
              <w:bottom w:val="single" w:sz="8" w:space="0" w:color="auto"/>
              <w:right w:val="single" w:sz="8" w:space="0" w:color="auto"/>
            </w:tcBorders>
            <w:shd w:val="clear" w:color="auto" w:fill="auto"/>
            <w:noWrap/>
            <w:vAlign w:val="center"/>
            <w:hideMark/>
          </w:tcPr>
          <w:p w14:paraId="4FBC305C" w14:textId="77777777" w:rsidR="00FD652F" w:rsidRPr="00D4489C" w:rsidRDefault="00FD652F" w:rsidP="00D73374">
            <w:pPr>
              <w:spacing w:line="276" w:lineRule="auto"/>
              <w:jc w:val="center"/>
              <w:rPr>
                <w:rFonts w:eastAsia="Times New Roman" w:cstheme="minorHAnsi"/>
                <w:color w:val="000000"/>
                <w:lang w:eastAsia="en-GB"/>
              </w:rPr>
            </w:pPr>
            <w:r w:rsidRPr="00D4489C">
              <w:rPr>
                <w:rFonts w:eastAsia="Times New Roman" w:cstheme="minorHAnsi"/>
                <w:color w:val="000000"/>
                <w:lang w:eastAsia="en-GB"/>
              </w:rPr>
              <w:t>7.6</w:t>
            </w:r>
          </w:p>
        </w:tc>
        <w:tc>
          <w:tcPr>
            <w:tcW w:w="1000" w:type="pct"/>
            <w:tcBorders>
              <w:top w:val="nil"/>
              <w:left w:val="nil"/>
              <w:bottom w:val="single" w:sz="8" w:space="0" w:color="auto"/>
              <w:right w:val="single" w:sz="8" w:space="0" w:color="auto"/>
            </w:tcBorders>
            <w:shd w:val="clear" w:color="000000" w:fill="0D0D0D"/>
            <w:vAlign w:val="center"/>
            <w:hideMark/>
          </w:tcPr>
          <w:p w14:paraId="0198093A" w14:textId="77777777" w:rsidR="00FD652F" w:rsidRPr="00D4489C" w:rsidRDefault="00FD652F" w:rsidP="00D73374">
            <w:pPr>
              <w:spacing w:line="276" w:lineRule="auto"/>
              <w:jc w:val="center"/>
              <w:rPr>
                <w:rFonts w:eastAsia="Times New Roman" w:cstheme="minorHAnsi"/>
                <w:color w:val="808080"/>
                <w:lang w:eastAsia="en-GB"/>
              </w:rPr>
            </w:pPr>
            <w:r w:rsidRPr="00D4489C">
              <w:rPr>
                <w:rFonts w:eastAsia="Times New Roman" w:cstheme="minorHAnsi"/>
                <w:color w:val="808080"/>
                <w:lang w:eastAsia="en-GB"/>
              </w:rPr>
              <w:t> </w:t>
            </w:r>
          </w:p>
        </w:tc>
        <w:tc>
          <w:tcPr>
            <w:tcW w:w="1000" w:type="pct"/>
            <w:tcBorders>
              <w:top w:val="nil"/>
              <w:left w:val="nil"/>
              <w:bottom w:val="single" w:sz="8" w:space="0" w:color="auto"/>
              <w:right w:val="single" w:sz="8" w:space="0" w:color="auto"/>
            </w:tcBorders>
            <w:shd w:val="clear" w:color="000000" w:fill="0D0D0D"/>
            <w:vAlign w:val="center"/>
            <w:hideMark/>
          </w:tcPr>
          <w:p w14:paraId="40A69457" w14:textId="77777777" w:rsidR="00FD652F" w:rsidRPr="00D4489C" w:rsidRDefault="00FD652F" w:rsidP="00D73374">
            <w:pPr>
              <w:spacing w:line="276" w:lineRule="auto"/>
              <w:jc w:val="center"/>
              <w:rPr>
                <w:rFonts w:eastAsia="Times New Roman" w:cstheme="minorHAnsi"/>
                <w:color w:val="808080"/>
                <w:lang w:eastAsia="en-GB"/>
              </w:rPr>
            </w:pPr>
            <w:r w:rsidRPr="00D4489C">
              <w:rPr>
                <w:rFonts w:eastAsia="Times New Roman" w:cstheme="minorHAnsi"/>
                <w:color w:val="808080"/>
                <w:lang w:eastAsia="en-GB"/>
              </w:rPr>
              <w:t> </w:t>
            </w:r>
          </w:p>
        </w:tc>
      </w:tr>
      <w:tr w:rsidR="00FD652F" w:rsidRPr="00D4489C" w14:paraId="079727A3" w14:textId="77777777" w:rsidTr="005C4CAD">
        <w:trPr>
          <w:trHeight w:val="315"/>
          <w:tblHeader/>
        </w:trPr>
        <w:tc>
          <w:tcPr>
            <w:tcW w:w="1000" w:type="pct"/>
            <w:tcBorders>
              <w:top w:val="nil"/>
              <w:left w:val="single" w:sz="8" w:space="0" w:color="auto"/>
              <w:bottom w:val="single" w:sz="8" w:space="0" w:color="auto"/>
              <w:right w:val="single" w:sz="8" w:space="0" w:color="auto"/>
            </w:tcBorders>
            <w:shd w:val="clear" w:color="000000" w:fill="FFFFFF"/>
            <w:noWrap/>
            <w:vAlign w:val="bottom"/>
            <w:hideMark/>
          </w:tcPr>
          <w:p w14:paraId="77790433" w14:textId="77777777" w:rsidR="00FD652F" w:rsidRPr="00D4489C" w:rsidRDefault="00FD652F" w:rsidP="00D73374">
            <w:pPr>
              <w:spacing w:line="276" w:lineRule="auto"/>
              <w:rPr>
                <w:rFonts w:eastAsia="Times New Roman" w:cstheme="minorHAnsi"/>
                <w:color w:val="000000"/>
                <w:lang w:eastAsia="en-GB"/>
              </w:rPr>
            </w:pPr>
            <w:r w:rsidRPr="00D4489C">
              <w:rPr>
                <w:rFonts w:eastAsia="Times New Roman" w:cstheme="minorHAnsi"/>
                <w:color w:val="000000"/>
                <w:lang w:eastAsia="en-GB"/>
              </w:rPr>
              <w:t>2015</w:t>
            </w:r>
          </w:p>
        </w:tc>
        <w:tc>
          <w:tcPr>
            <w:tcW w:w="1000" w:type="pct"/>
            <w:tcBorders>
              <w:top w:val="nil"/>
              <w:left w:val="nil"/>
              <w:bottom w:val="single" w:sz="8" w:space="0" w:color="auto"/>
              <w:right w:val="single" w:sz="8" w:space="0" w:color="auto"/>
            </w:tcBorders>
            <w:shd w:val="clear" w:color="000000" w:fill="FFFFFF"/>
            <w:noWrap/>
            <w:vAlign w:val="center"/>
            <w:hideMark/>
          </w:tcPr>
          <w:p w14:paraId="78A30E29" w14:textId="77777777" w:rsidR="00FD652F" w:rsidRPr="00D4489C" w:rsidRDefault="00FD652F" w:rsidP="00D73374">
            <w:pPr>
              <w:spacing w:line="276" w:lineRule="auto"/>
              <w:jc w:val="center"/>
              <w:rPr>
                <w:rFonts w:eastAsia="Times New Roman" w:cstheme="minorHAnsi"/>
                <w:color w:val="000000"/>
                <w:lang w:eastAsia="en-GB"/>
              </w:rPr>
            </w:pPr>
            <w:r w:rsidRPr="00D4489C">
              <w:rPr>
                <w:rFonts w:eastAsia="Times New Roman" w:cstheme="minorHAnsi"/>
                <w:color w:val="000000"/>
                <w:lang w:eastAsia="en-GB"/>
              </w:rPr>
              <w:t>4.2</w:t>
            </w:r>
          </w:p>
        </w:tc>
        <w:tc>
          <w:tcPr>
            <w:tcW w:w="1000" w:type="pct"/>
            <w:tcBorders>
              <w:top w:val="nil"/>
              <w:left w:val="nil"/>
              <w:bottom w:val="single" w:sz="8" w:space="0" w:color="auto"/>
              <w:right w:val="single" w:sz="8" w:space="0" w:color="auto"/>
            </w:tcBorders>
            <w:shd w:val="clear" w:color="000000" w:fill="FFFFFF"/>
            <w:noWrap/>
            <w:vAlign w:val="center"/>
            <w:hideMark/>
          </w:tcPr>
          <w:p w14:paraId="226341FE" w14:textId="77777777" w:rsidR="00FD652F" w:rsidRPr="00D4489C" w:rsidRDefault="00FD652F" w:rsidP="00D73374">
            <w:pPr>
              <w:spacing w:line="276" w:lineRule="auto"/>
              <w:jc w:val="center"/>
              <w:rPr>
                <w:rFonts w:eastAsia="Times New Roman" w:cstheme="minorHAnsi"/>
                <w:color w:val="000000"/>
                <w:lang w:eastAsia="en-GB"/>
              </w:rPr>
            </w:pPr>
            <w:r w:rsidRPr="00D4489C">
              <w:rPr>
                <w:rFonts w:eastAsia="Times New Roman" w:cstheme="minorHAnsi"/>
                <w:color w:val="000000"/>
                <w:lang w:eastAsia="en-GB"/>
              </w:rPr>
              <w:t>14.5</w:t>
            </w:r>
          </w:p>
        </w:tc>
        <w:tc>
          <w:tcPr>
            <w:tcW w:w="1000" w:type="pct"/>
            <w:tcBorders>
              <w:top w:val="nil"/>
              <w:left w:val="nil"/>
              <w:bottom w:val="single" w:sz="8" w:space="0" w:color="auto"/>
              <w:right w:val="single" w:sz="8" w:space="0" w:color="auto"/>
            </w:tcBorders>
            <w:shd w:val="clear" w:color="000000" w:fill="0D0D0D"/>
            <w:vAlign w:val="center"/>
            <w:hideMark/>
          </w:tcPr>
          <w:p w14:paraId="54E773EE" w14:textId="77777777" w:rsidR="00FD652F" w:rsidRPr="00D4489C" w:rsidRDefault="00FD652F" w:rsidP="00D73374">
            <w:pPr>
              <w:spacing w:line="276" w:lineRule="auto"/>
              <w:jc w:val="center"/>
              <w:rPr>
                <w:rFonts w:eastAsia="Times New Roman" w:cstheme="minorHAnsi"/>
                <w:color w:val="808080"/>
                <w:lang w:eastAsia="en-GB"/>
              </w:rPr>
            </w:pPr>
            <w:r w:rsidRPr="00D4489C">
              <w:rPr>
                <w:rFonts w:eastAsia="Times New Roman" w:cstheme="minorHAnsi"/>
                <w:color w:val="808080"/>
                <w:lang w:eastAsia="en-GB"/>
              </w:rPr>
              <w:t> </w:t>
            </w:r>
          </w:p>
        </w:tc>
        <w:tc>
          <w:tcPr>
            <w:tcW w:w="1000" w:type="pct"/>
            <w:tcBorders>
              <w:top w:val="nil"/>
              <w:left w:val="nil"/>
              <w:bottom w:val="single" w:sz="8" w:space="0" w:color="auto"/>
              <w:right w:val="single" w:sz="8" w:space="0" w:color="auto"/>
            </w:tcBorders>
            <w:shd w:val="clear" w:color="000000" w:fill="0D0D0D"/>
            <w:vAlign w:val="center"/>
            <w:hideMark/>
          </w:tcPr>
          <w:p w14:paraId="4E575650" w14:textId="77777777" w:rsidR="00FD652F" w:rsidRPr="00D4489C" w:rsidRDefault="00FD652F" w:rsidP="00D73374">
            <w:pPr>
              <w:spacing w:line="276" w:lineRule="auto"/>
              <w:jc w:val="center"/>
              <w:rPr>
                <w:rFonts w:eastAsia="Times New Roman" w:cstheme="minorHAnsi"/>
                <w:color w:val="808080"/>
                <w:lang w:eastAsia="en-GB"/>
              </w:rPr>
            </w:pPr>
            <w:r w:rsidRPr="00D4489C">
              <w:rPr>
                <w:rFonts w:eastAsia="Times New Roman" w:cstheme="minorHAnsi"/>
                <w:color w:val="808080"/>
                <w:lang w:eastAsia="en-GB"/>
              </w:rPr>
              <w:t> </w:t>
            </w:r>
          </w:p>
        </w:tc>
      </w:tr>
      <w:tr w:rsidR="00FD652F" w:rsidRPr="00D4489C" w14:paraId="4CD6696B" w14:textId="77777777" w:rsidTr="005C4CAD">
        <w:trPr>
          <w:trHeight w:val="315"/>
          <w:tblHeader/>
        </w:trPr>
        <w:tc>
          <w:tcPr>
            <w:tcW w:w="1000" w:type="pct"/>
            <w:tcBorders>
              <w:top w:val="nil"/>
              <w:left w:val="single" w:sz="8" w:space="0" w:color="auto"/>
              <w:bottom w:val="single" w:sz="8" w:space="0" w:color="auto"/>
              <w:right w:val="single" w:sz="8" w:space="0" w:color="auto"/>
            </w:tcBorders>
            <w:shd w:val="clear" w:color="000000" w:fill="FFFFFF"/>
            <w:noWrap/>
            <w:vAlign w:val="bottom"/>
            <w:hideMark/>
          </w:tcPr>
          <w:p w14:paraId="4CD85342" w14:textId="77777777" w:rsidR="00FD652F" w:rsidRPr="00D4489C" w:rsidRDefault="00FD652F" w:rsidP="00D73374">
            <w:pPr>
              <w:spacing w:line="276" w:lineRule="auto"/>
              <w:rPr>
                <w:rFonts w:eastAsia="Times New Roman" w:cstheme="minorHAnsi"/>
                <w:color w:val="000000"/>
                <w:lang w:eastAsia="en-GB"/>
              </w:rPr>
            </w:pPr>
            <w:r w:rsidRPr="00D4489C">
              <w:rPr>
                <w:rFonts w:eastAsia="Times New Roman" w:cstheme="minorHAnsi"/>
                <w:color w:val="000000"/>
                <w:lang w:eastAsia="en-GB"/>
              </w:rPr>
              <w:t>2016</w:t>
            </w:r>
          </w:p>
        </w:tc>
        <w:tc>
          <w:tcPr>
            <w:tcW w:w="1000" w:type="pct"/>
            <w:tcBorders>
              <w:top w:val="nil"/>
              <w:left w:val="nil"/>
              <w:bottom w:val="single" w:sz="8" w:space="0" w:color="auto"/>
              <w:right w:val="single" w:sz="8" w:space="0" w:color="auto"/>
            </w:tcBorders>
            <w:shd w:val="clear" w:color="000000" w:fill="FFFFFF"/>
            <w:noWrap/>
            <w:vAlign w:val="center"/>
            <w:hideMark/>
          </w:tcPr>
          <w:p w14:paraId="21FEE9EA" w14:textId="77777777" w:rsidR="00FD652F" w:rsidRPr="00D4489C" w:rsidRDefault="00FD652F" w:rsidP="00D73374">
            <w:pPr>
              <w:spacing w:line="276" w:lineRule="auto"/>
              <w:jc w:val="center"/>
              <w:rPr>
                <w:rFonts w:eastAsia="Times New Roman" w:cstheme="minorHAnsi"/>
                <w:color w:val="000000"/>
                <w:lang w:eastAsia="en-GB"/>
              </w:rPr>
            </w:pPr>
            <w:r w:rsidRPr="00D4489C">
              <w:rPr>
                <w:rFonts w:eastAsia="Times New Roman" w:cstheme="minorHAnsi"/>
                <w:color w:val="000000"/>
                <w:lang w:eastAsia="en-GB"/>
              </w:rPr>
              <w:t>8.8</w:t>
            </w:r>
          </w:p>
        </w:tc>
        <w:tc>
          <w:tcPr>
            <w:tcW w:w="1000" w:type="pct"/>
            <w:tcBorders>
              <w:top w:val="nil"/>
              <w:left w:val="nil"/>
              <w:bottom w:val="single" w:sz="8" w:space="0" w:color="auto"/>
              <w:right w:val="single" w:sz="8" w:space="0" w:color="auto"/>
            </w:tcBorders>
            <w:shd w:val="clear" w:color="000000" w:fill="FFFFFF"/>
            <w:noWrap/>
            <w:vAlign w:val="center"/>
            <w:hideMark/>
          </w:tcPr>
          <w:p w14:paraId="4B606ECE" w14:textId="77777777" w:rsidR="00FD652F" w:rsidRPr="00D4489C" w:rsidRDefault="00FD652F" w:rsidP="00D73374">
            <w:pPr>
              <w:spacing w:line="276" w:lineRule="auto"/>
              <w:jc w:val="center"/>
              <w:rPr>
                <w:rFonts w:eastAsia="Times New Roman" w:cstheme="minorHAnsi"/>
                <w:color w:val="000000"/>
                <w:lang w:eastAsia="en-GB"/>
              </w:rPr>
            </w:pPr>
            <w:r w:rsidRPr="00D4489C">
              <w:rPr>
                <w:rFonts w:eastAsia="Times New Roman" w:cstheme="minorHAnsi"/>
                <w:color w:val="000000"/>
                <w:lang w:eastAsia="en-GB"/>
              </w:rPr>
              <w:t>29.3</w:t>
            </w:r>
          </w:p>
        </w:tc>
        <w:tc>
          <w:tcPr>
            <w:tcW w:w="1000" w:type="pct"/>
            <w:tcBorders>
              <w:top w:val="nil"/>
              <w:left w:val="nil"/>
              <w:bottom w:val="single" w:sz="8" w:space="0" w:color="auto"/>
              <w:right w:val="single" w:sz="8" w:space="0" w:color="auto"/>
            </w:tcBorders>
            <w:shd w:val="clear" w:color="000000" w:fill="0D0D0D"/>
            <w:vAlign w:val="center"/>
            <w:hideMark/>
          </w:tcPr>
          <w:p w14:paraId="4D87A289" w14:textId="77777777" w:rsidR="00FD652F" w:rsidRPr="00D4489C" w:rsidRDefault="00FD652F" w:rsidP="00D73374">
            <w:pPr>
              <w:spacing w:line="276" w:lineRule="auto"/>
              <w:jc w:val="center"/>
              <w:rPr>
                <w:rFonts w:eastAsia="Times New Roman" w:cstheme="minorHAnsi"/>
                <w:color w:val="808080"/>
                <w:lang w:eastAsia="en-GB"/>
              </w:rPr>
            </w:pPr>
            <w:r w:rsidRPr="00D4489C">
              <w:rPr>
                <w:rFonts w:eastAsia="Times New Roman" w:cstheme="minorHAnsi"/>
                <w:color w:val="808080"/>
                <w:lang w:eastAsia="en-GB"/>
              </w:rPr>
              <w:t> </w:t>
            </w:r>
          </w:p>
        </w:tc>
        <w:tc>
          <w:tcPr>
            <w:tcW w:w="1000" w:type="pct"/>
            <w:tcBorders>
              <w:top w:val="nil"/>
              <w:left w:val="nil"/>
              <w:bottom w:val="single" w:sz="8" w:space="0" w:color="auto"/>
              <w:right w:val="single" w:sz="8" w:space="0" w:color="auto"/>
            </w:tcBorders>
            <w:shd w:val="clear" w:color="000000" w:fill="0D0D0D"/>
            <w:vAlign w:val="center"/>
            <w:hideMark/>
          </w:tcPr>
          <w:p w14:paraId="67734978" w14:textId="77777777" w:rsidR="00FD652F" w:rsidRPr="00D4489C" w:rsidRDefault="00FD652F" w:rsidP="00D73374">
            <w:pPr>
              <w:spacing w:line="276" w:lineRule="auto"/>
              <w:jc w:val="center"/>
              <w:rPr>
                <w:rFonts w:eastAsia="Times New Roman" w:cstheme="minorHAnsi"/>
                <w:color w:val="808080"/>
                <w:lang w:eastAsia="en-GB"/>
              </w:rPr>
            </w:pPr>
            <w:r w:rsidRPr="00D4489C">
              <w:rPr>
                <w:rFonts w:eastAsia="Times New Roman" w:cstheme="minorHAnsi"/>
                <w:color w:val="808080"/>
                <w:lang w:eastAsia="en-GB"/>
              </w:rPr>
              <w:t> </w:t>
            </w:r>
          </w:p>
        </w:tc>
      </w:tr>
      <w:tr w:rsidR="00FD652F" w:rsidRPr="00D4489C" w14:paraId="6E1D2BF9" w14:textId="77777777" w:rsidTr="005C4CAD">
        <w:trPr>
          <w:trHeight w:val="315"/>
          <w:tblHeader/>
        </w:trPr>
        <w:tc>
          <w:tcPr>
            <w:tcW w:w="1000" w:type="pct"/>
            <w:tcBorders>
              <w:top w:val="nil"/>
              <w:left w:val="single" w:sz="8" w:space="0" w:color="auto"/>
              <w:bottom w:val="single" w:sz="8" w:space="0" w:color="auto"/>
              <w:right w:val="single" w:sz="8" w:space="0" w:color="auto"/>
            </w:tcBorders>
            <w:shd w:val="clear" w:color="000000" w:fill="FFFFFF"/>
            <w:noWrap/>
            <w:vAlign w:val="bottom"/>
            <w:hideMark/>
          </w:tcPr>
          <w:p w14:paraId="58970C21" w14:textId="77777777" w:rsidR="00FD652F" w:rsidRPr="00D4489C" w:rsidRDefault="00FD652F" w:rsidP="00D73374">
            <w:pPr>
              <w:spacing w:line="276" w:lineRule="auto"/>
              <w:rPr>
                <w:rFonts w:eastAsia="Times New Roman" w:cstheme="minorHAnsi"/>
                <w:color w:val="000000"/>
                <w:lang w:eastAsia="en-GB"/>
              </w:rPr>
            </w:pPr>
            <w:r w:rsidRPr="00D4489C">
              <w:rPr>
                <w:rFonts w:eastAsia="Times New Roman" w:cstheme="minorHAnsi"/>
                <w:color w:val="000000"/>
                <w:lang w:eastAsia="en-GB"/>
              </w:rPr>
              <w:t>2017</w:t>
            </w:r>
          </w:p>
        </w:tc>
        <w:tc>
          <w:tcPr>
            <w:tcW w:w="1000" w:type="pct"/>
            <w:tcBorders>
              <w:top w:val="nil"/>
              <w:left w:val="nil"/>
              <w:bottom w:val="single" w:sz="8" w:space="0" w:color="auto"/>
              <w:right w:val="single" w:sz="8" w:space="0" w:color="auto"/>
            </w:tcBorders>
            <w:shd w:val="clear" w:color="000000" w:fill="FFFFFF"/>
            <w:noWrap/>
            <w:vAlign w:val="center"/>
            <w:hideMark/>
          </w:tcPr>
          <w:p w14:paraId="35B93B29" w14:textId="77777777" w:rsidR="00FD652F" w:rsidRPr="00D4489C" w:rsidRDefault="00FD652F" w:rsidP="00D73374">
            <w:pPr>
              <w:spacing w:line="276" w:lineRule="auto"/>
              <w:jc w:val="center"/>
              <w:rPr>
                <w:rFonts w:eastAsia="Times New Roman" w:cstheme="minorHAnsi"/>
                <w:color w:val="000000"/>
                <w:lang w:eastAsia="en-GB"/>
              </w:rPr>
            </w:pPr>
            <w:r w:rsidRPr="00D4489C">
              <w:rPr>
                <w:rFonts w:eastAsia="Times New Roman" w:cstheme="minorHAnsi"/>
                <w:color w:val="000000"/>
                <w:lang w:eastAsia="en-GB"/>
              </w:rPr>
              <w:t>5.6</w:t>
            </w:r>
          </w:p>
        </w:tc>
        <w:tc>
          <w:tcPr>
            <w:tcW w:w="1000" w:type="pct"/>
            <w:tcBorders>
              <w:top w:val="nil"/>
              <w:left w:val="nil"/>
              <w:bottom w:val="single" w:sz="8" w:space="0" w:color="auto"/>
              <w:right w:val="single" w:sz="8" w:space="0" w:color="auto"/>
            </w:tcBorders>
            <w:shd w:val="clear" w:color="000000" w:fill="FFFFFF"/>
            <w:noWrap/>
            <w:vAlign w:val="center"/>
            <w:hideMark/>
          </w:tcPr>
          <w:p w14:paraId="1E1F6053" w14:textId="77777777" w:rsidR="00FD652F" w:rsidRPr="00D4489C" w:rsidRDefault="00FD652F" w:rsidP="00D73374">
            <w:pPr>
              <w:spacing w:line="276" w:lineRule="auto"/>
              <w:jc w:val="center"/>
              <w:rPr>
                <w:rFonts w:eastAsia="Times New Roman" w:cstheme="minorHAnsi"/>
                <w:color w:val="000000"/>
                <w:lang w:eastAsia="en-GB"/>
              </w:rPr>
            </w:pPr>
            <w:r w:rsidRPr="00D4489C">
              <w:rPr>
                <w:rFonts w:eastAsia="Times New Roman" w:cstheme="minorHAnsi"/>
                <w:color w:val="000000"/>
                <w:lang w:eastAsia="en-GB"/>
              </w:rPr>
              <w:t>18.1</w:t>
            </w:r>
          </w:p>
        </w:tc>
        <w:tc>
          <w:tcPr>
            <w:tcW w:w="1000" w:type="pct"/>
            <w:tcBorders>
              <w:top w:val="nil"/>
              <w:left w:val="nil"/>
              <w:bottom w:val="single" w:sz="8" w:space="0" w:color="auto"/>
              <w:right w:val="single" w:sz="8" w:space="0" w:color="auto"/>
            </w:tcBorders>
            <w:shd w:val="clear" w:color="000000" w:fill="F2F2F2"/>
            <w:vAlign w:val="center"/>
            <w:hideMark/>
          </w:tcPr>
          <w:p w14:paraId="34BF0E1E" w14:textId="77777777" w:rsidR="00FD652F" w:rsidRPr="00D4489C" w:rsidRDefault="00FD652F" w:rsidP="00D73374">
            <w:pPr>
              <w:spacing w:line="276" w:lineRule="auto"/>
              <w:jc w:val="center"/>
              <w:rPr>
                <w:rFonts w:eastAsia="Times New Roman" w:cstheme="minorHAnsi"/>
                <w:color w:val="808080"/>
                <w:lang w:eastAsia="en-GB"/>
              </w:rPr>
            </w:pPr>
            <w:r w:rsidRPr="00D4489C">
              <w:rPr>
                <w:rFonts w:eastAsia="Times New Roman" w:cstheme="minorHAnsi"/>
                <w:color w:val="808080"/>
                <w:lang w:eastAsia="en-GB"/>
              </w:rPr>
              <w:t>11.2</w:t>
            </w:r>
          </w:p>
        </w:tc>
        <w:tc>
          <w:tcPr>
            <w:tcW w:w="1000" w:type="pct"/>
            <w:tcBorders>
              <w:top w:val="nil"/>
              <w:left w:val="nil"/>
              <w:bottom w:val="single" w:sz="8" w:space="0" w:color="auto"/>
              <w:right w:val="single" w:sz="8" w:space="0" w:color="auto"/>
            </w:tcBorders>
            <w:shd w:val="clear" w:color="000000" w:fill="F2F2F2"/>
            <w:vAlign w:val="center"/>
            <w:hideMark/>
          </w:tcPr>
          <w:p w14:paraId="208D770F" w14:textId="77777777" w:rsidR="00FD652F" w:rsidRPr="00D4489C" w:rsidRDefault="00FD652F" w:rsidP="00D73374">
            <w:pPr>
              <w:spacing w:line="276" w:lineRule="auto"/>
              <w:jc w:val="center"/>
              <w:rPr>
                <w:rFonts w:eastAsia="Times New Roman" w:cstheme="minorHAnsi"/>
                <w:color w:val="808080"/>
                <w:lang w:eastAsia="en-GB"/>
              </w:rPr>
            </w:pPr>
            <w:r w:rsidRPr="00D4489C">
              <w:rPr>
                <w:rFonts w:eastAsia="Times New Roman" w:cstheme="minorHAnsi"/>
                <w:color w:val="808080"/>
                <w:lang w:eastAsia="en-GB"/>
              </w:rPr>
              <w:t>13.33</w:t>
            </w:r>
          </w:p>
        </w:tc>
      </w:tr>
      <w:tr w:rsidR="00FD652F" w:rsidRPr="00D4489C" w14:paraId="5D4EE093" w14:textId="77777777" w:rsidTr="005C4CAD">
        <w:trPr>
          <w:trHeight w:val="315"/>
          <w:tblHeader/>
        </w:trPr>
        <w:tc>
          <w:tcPr>
            <w:tcW w:w="1000" w:type="pct"/>
            <w:tcBorders>
              <w:top w:val="nil"/>
              <w:left w:val="single" w:sz="8" w:space="0" w:color="auto"/>
              <w:bottom w:val="single" w:sz="8" w:space="0" w:color="auto"/>
              <w:right w:val="single" w:sz="8" w:space="0" w:color="auto"/>
            </w:tcBorders>
            <w:shd w:val="clear" w:color="000000" w:fill="FFFFFF"/>
            <w:noWrap/>
            <w:vAlign w:val="bottom"/>
            <w:hideMark/>
          </w:tcPr>
          <w:p w14:paraId="702CF221" w14:textId="77777777" w:rsidR="00FD652F" w:rsidRPr="00D4489C" w:rsidRDefault="00FD652F" w:rsidP="00D73374">
            <w:pPr>
              <w:spacing w:line="276" w:lineRule="auto"/>
              <w:rPr>
                <w:rFonts w:eastAsia="Times New Roman" w:cstheme="minorHAnsi"/>
                <w:color w:val="000000"/>
                <w:lang w:eastAsia="en-GB"/>
              </w:rPr>
            </w:pPr>
            <w:r w:rsidRPr="00D4489C">
              <w:rPr>
                <w:rFonts w:eastAsia="Times New Roman" w:cstheme="minorHAnsi"/>
                <w:color w:val="000000"/>
                <w:lang w:eastAsia="en-GB"/>
              </w:rPr>
              <w:t>2018</w:t>
            </w:r>
          </w:p>
        </w:tc>
        <w:tc>
          <w:tcPr>
            <w:tcW w:w="1000" w:type="pct"/>
            <w:tcBorders>
              <w:top w:val="nil"/>
              <w:left w:val="nil"/>
              <w:bottom w:val="single" w:sz="8" w:space="0" w:color="auto"/>
              <w:right w:val="single" w:sz="8" w:space="0" w:color="auto"/>
            </w:tcBorders>
            <w:shd w:val="clear" w:color="000000" w:fill="FFFFFF"/>
            <w:noWrap/>
            <w:vAlign w:val="center"/>
            <w:hideMark/>
          </w:tcPr>
          <w:p w14:paraId="0751D3CD" w14:textId="77777777" w:rsidR="00FD652F" w:rsidRPr="00D4489C" w:rsidRDefault="00FD652F" w:rsidP="00D73374">
            <w:pPr>
              <w:spacing w:line="276" w:lineRule="auto"/>
              <w:jc w:val="center"/>
              <w:rPr>
                <w:rFonts w:eastAsia="Times New Roman" w:cstheme="minorHAnsi"/>
                <w:color w:val="000000"/>
                <w:lang w:eastAsia="en-GB"/>
              </w:rPr>
            </w:pPr>
            <w:r w:rsidRPr="00D4489C">
              <w:rPr>
                <w:rFonts w:eastAsia="Times New Roman" w:cstheme="minorHAnsi"/>
                <w:color w:val="000000"/>
                <w:lang w:eastAsia="en-GB"/>
              </w:rPr>
              <w:t>5.6</w:t>
            </w:r>
          </w:p>
        </w:tc>
        <w:tc>
          <w:tcPr>
            <w:tcW w:w="1000" w:type="pct"/>
            <w:tcBorders>
              <w:top w:val="nil"/>
              <w:left w:val="nil"/>
              <w:bottom w:val="single" w:sz="8" w:space="0" w:color="auto"/>
              <w:right w:val="single" w:sz="8" w:space="0" w:color="auto"/>
            </w:tcBorders>
            <w:shd w:val="clear" w:color="000000" w:fill="FFFFFF"/>
            <w:noWrap/>
            <w:vAlign w:val="center"/>
            <w:hideMark/>
          </w:tcPr>
          <w:p w14:paraId="69372408" w14:textId="77777777" w:rsidR="00FD652F" w:rsidRPr="00D4489C" w:rsidRDefault="00FD652F" w:rsidP="00D73374">
            <w:pPr>
              <w:spacing w:line="276" w:lineRule="auto"/>
              <w:jc w:val="center"/>
              <w:rPr>
                <w:rFonts w:eastAsia="Times New Roman" w:cstheme="minorHAnsi"/>
                <w:color w:val="000000"/>
                <w:lang w:eastAsia="en-GB"/>
              </w:rPr>
            </w:pPr>
            <w:r w:rsidRPr="00D4489C">
              <w:rPr>
                <w:rFonts w:eastAsia="Times New Roman" w:cstheme="minorHAnsi"/>
                <w:color w:val="000000"/>
                <w:lang w:eastAsia="en-GB"/>
              </w:rPr>
              <w:t>17</w:t>
            </w:r>
          </w:p>
        </w:tc>
        <w:tc>
          <w:tcPr>
            <w:tcW w:w="1000" w:type="pct"/>
            <w:tcBorders>
              <w:top w:val="nil"/>
              <w:left w:val="nil"/>
              <w:bottom w:val="single" w:sz="8" w:space="0" w:color="auto"/>
              <w:right w:val="single" w:sz="8" w:space="0" w:color="auto"/>
            </w:tcBorders>
            <w:shd w:val="clear" w:color="000000" w:fill="F2F2F2"/>
            <w:vAlign w:val="center"/>
            <w:hideMark/>
          </w:tcPr>
          <w:p w14:paraId="036E2878" w14:textId="77777777" w:rsidR="00FD652F" w:rsidRPr="00D4489C" w:rsidRDefault="00FD652F" w:rsidP="00D73374">
            <w:pPr>
              <w:spacing w:line="276" w:lineRule="auto"/>
              <w:jc w:val="center"/>
              <w:rPr>
                <w:rFonts w:eastAsia="Times New Roman" w:cstheme="minorHAnsi"/>
                <w:color w:val="808080"/>
                <w:lang w:eastAsia="en-GB"/>
              </w:rPr>
            </w:pPr>
            <w:r w:rsidRPr="00D4489C">
              <w:rPr>
                <w:rFonts w:eastAsia="Times New Roman" w:cstheme="minorHAnsi"/>
                <w:color w:val="808080"/>
                <w:lang w:eastAsia="en-GB"/>
              </w:rPr>
              <w:t>9.8</w:t>
            </w:r>
          </w:p>
        </w:tc>
        <w:tc>
          <w:tcPr>
            <w:tcW w:w="1000" w:type="pct"/>
            <w:tcBorders>
              <w:top w:val="nil"/>
              <w:left w:val="nil"/>
              <w:bottom w:val="single" w:sz="8" w:space="0" w:color="auto"/>
              <w:right w:val="single" w:sz="8" w:space="0" w:color="auto"/>
            </w:tcBorders>
            <w:shd w:val="clear" w:color="000000" w:fill="F2F2F2"/>
            <w:vAlign w:val="center"/>
            <w:hideMark/>
          </w:tcPr>
          <w:p w14:paraId="341323BD" w14:textId="77777777" w:rsidR="00FD652F" w:rsidRPr="00D4489C" w:rsidRDefault="00FD652F" w:rsidP="00D73374">
            <w:pPr>
              <w:spacing w:line="276" w:lineRule="auto"/>
              <w:jc w:val="center"/>
              <w:rPr>
                <w:rFonts w:eastAsia="Times New Roman" w:cstheme="minorHAnsi"/>
                <w:color w:val="808080"/>
                <w:lang w:eastAsia="en-GB"/>
              </w:rPr>
            </w:pPr>
            <w:r w:rsidRPr="00D4489C">
              <w:rPr>
                <w:rFonts w:eastAsia="Times New Roman" w:cstheme="minorHAnsi"/>
                <w:color w:val="808080"/>
                <w:lang w:eastAsia="en-GB"/>
              </w:rPr>
              <w:t>13.33</w:t>
            </w:r>
          </w:p>
        </w:tc>
      </w:tr>
      <w:tr w:rsidR="00FD652F" w:rsidRPr="00D4489C" w14:paraId="52B5F9B9" w14:textId="77777777" w:rsidTr="00454E25">
        <w:trPr>
          <w:trHeight w:val="315"/>
          <w:tblHeader/>
        </w:trPr>
        <w:tc>
          <w:tcPr>
            <w:tcW w:w="1000" w:type="pct"/>
            <w:tcBorders>
              <w:top w:val="nil"/>
              <w:left w:val="single" w:sz="8" w:space="0" w:color="auto"/>
              <w:bottom w:val="single" w:sz="4" w:space="0" w:color="auto"/>
              <w:right w:val="single" w:sz="8" w:space="0" w:color="auto"/>
            </w:tcBorders>
            <w:shd w:val="clear" w:color="000000" w:fill="FFFFFF"/>
            <w:noWrap/>
            <w:vAlign w:val="bottom"/>
            <w:hideMark/>
          </w:tcPr>
          <w:p w14:paraId="360A5C37" w14:textId="77777777" w:rsidR="00FD652F" w:rsidRPr="00D4489C" w:rsidRDefault="00FD652F" w:rsidP="00D73374">
            <w:pPr>
              <w:spacing w:line="276" w:lineRule="auto"/>
              <w:rPr>
                <w:rFonts w:eastAsia="Times New Roman" w:cstheme="minorHAnsi"/>
                <w:color w:val="000000"/>
                <w:lang w:eastAsia="en-GB"/>
              </w:rPr>
            </w:pPr>
            <w:r w:rsidRPr="00D4489C">
              <w:rPr>
                <w:rFonts w:eastAsia="Times New Roman" w:cstheme="minorHAnsi"/>
                <w:color w:val="000000"/>
                <w:lang w:eastAsia="en-GB"/>
              </w:rPr>
              <w:t>2019</w:t>
            </w:r>
          </w:p>
        </w:tc>
        <w:tc>
          <w:tcPr>
            <w:tcW w:w="1000" w:type="pct"/>
            <w:tcBorders>
              <w:top w:val="nil"/>
              <w:left w:val="nil"/>
              <w:bottom w:val="single" w:sz="4" w:space="0" w:color="auto"/>
              <w:right w:val="single" w:sz="8" w:space="0" w:color="auto"/>
            </w:tcBorders>
            <w:shd w:val="clear" w:color="000000" w:fill="BFBFBF"/>
            <w:noWrap/>
            <w:vAlign w:val="center"/>
            <w:hideMark/>
          </w:tcPr>
          <w:p w14:paraId="46808AA3" w14:textId="77777777" w:rsidR="00FD652F" w:rsidRPr="00D4489C" w:rsidRDefault="00FD652F" w:rsidP="00D73374">
            <w:pPr>
              <w:spacing w:line="276" w:lineRule="auto"/>
              <w:jc w:val="center"/>
              <w:rPr>
                <w:rFonts w:eastAsia="Times New Roman" w:cstheme="minorHAnsi"/>
                <w:color w:val="000000"/>
                <w:lang w:eastAsia="en-GB"/>
              </w:rPr>
            </w:pPr>
            <w:r w:rsidRPr="00D4489C">
              <w:rPr>
                <w:rFonts w:eastAsia="Times New Roman" w:cstheme="minorHAnsi"/>
                <w:color w:val="000000"/>
                <w:lang w:eastAsia="en-GB"/>
              </w:rPr>
              <w:t> </w:t>
            </w:r>
          </w:p>
        </w:tc>
        <w:tc>
          <w:tcPr>
            <w:tcW w:w="1000" w:type="pct"/>
            <w:tcBorders>
              <w:top w:val="nil"/>
              <w:left w:val="nil"/>
              <w:bottom w:val="single" w:sz="4" w:space="0" w:color="auto"/>
              <w:right w:val="single" w:sz="8" w:space="0" w:color="auto"/>
            </w:tcBorders>
            <w:shd w:val="clear" w:color="000000" w:fill="BFBFBF"/>
            <w:noWrap/>
            <w:vAlign w:val="center"/>
            <w:hideMark/>
          </w:tcPr>
          <w:p w14:paraId="4C537531" w14:textId="77777777" w:rsidR="00FD652F" w:rsidRPr="00D4489C" w:rsidRDefault="00FD652F" w:rsidP="00D73374">
            <w:pPr>
              <w:spacing w:line="276" w:lineRule="auto"/>
              <w:jc w:val="center"/>
              <w:rPr>
                <w:rFonts w:eastAsia="Times New Roman" w:cstheme="minorHAnsi"/>
                <w:color w:val="000000"/>
                <w:lang w:eastAsia="en-GB"/>
              </w:rPr>
            </w:pPr>
            <w:r w:rsidRPr="00D4489C">
              <w:rPr>
                <w:rFonts w:eastAsia="Times New Roman" w:cstheme="minorHAnsi"/>
                <w:color w:val="000000"/>
                <w:lang w:eastAsia="en-GB"/>
              </w:rPr>
              <w:t> </w:t>
            </w:r>
          </w:p>
        </w:tc>
        <w:tc>
          <w:tcPr>
            <w:tcW w:w="1000" w:type="pct"/>
            <w:tcBorders>
              <w:top w:val="nil"/>
              <w:left w:val="nil"/>
              <w:bottom w:val="single" w:sz="4" w:space="0" w:color="auto"/>
              <w:right w:val="single" w:sz="8" w:space="0" w:color="auto"/>
            </w:tcBorders>
            <w:shd w:val="clear" w:color="000000" w:fill="BFBFBF"/>
            <w:vAlign w:val="center"/>
            <w:hideMark/>
          </w:tcPr>
          <w:p w14:paraId="38C3BACF" w14:textId="77777777" w:rsidR="00FD652F" w:rsidRPr="00D4489C" w:rsidRDefault="00FD652F" w:rsidP="00D73374">
            <w:pPr>
              <w:spacing w:line="276" w:lineRule="auto"/>
              <w:jc w:val="center"/>
              <w:rPr>
                <w:rFonts w:eastAsia="Times New Roman" w:cstheme="minorHAnsi"/>
                <w:color w:val="000000"/>
                <w:lang w:eastAsia="en-GB"/>
              </w:rPr>
            </w:pPr>
            <w:r w:rsidRPr="00D4489C">
              <w:rPr>
                <w:rFonts w:eastAsia="Times New Roman" w:cstheme="minorHAnsi"/>
                <w:color w:val="000000"/>
                <w:lang w:eastAsia="en-GB"/>
              </w:rPr>
              <w:t> </w:t>
            </w:r>
          </w:p>
        </w:tc>
        <w:tc>
          <w:tcPr>
            <w:tcW w:w="1000" w:type="pct"/>
            <w:tcBorders>
              <w:top w:val="nil"/>
              <w:left w:val="nil"/>
              <w:bottom w:val="single" w:sz="4" w:space="0" w:color="auto"/>
              <w:right w:val="single" w:sz="8" w:space="0" w:color="auto"/>
            </w:tcBorders>
            <w:shd w:val="clear" w:color="000000" w:fill="BFBFBF"/>
            <w:vAlign w:val="center"/>
            <w:hideMark/>
          </w:tcPr>
          <w:p w14:paraId="47E26127" w14:textId="77777777" w:rsidR="00FD652F" w:rsidRPr="00D4489C" w:rsidRDefault="00FD652F" w:rsidP="00D73374">
            <w:pPr>
              <w:spacing w:line="276" w:lineRule="auto"/>
              <w:jc w:val="center"/>
              <w:rPr>
                <w:rFonts w:eastAsia="Times New Roman" w:cstheme="minorHAnsi"/>
                <w:color w:val="000000"/>
                <w:lang w:eastAsia="en-GB"/>
              </w:rPr>
            </w:pPr>
            <w:r w:rsidRPr="00D4489C">
              <w:rPr>
                <w:rFonts w:eastAsia="Times New Roman" w:cstheme="minorHAnsi"/>
                <w:color w:val="000000"/>
                <w:lang w:eastAsia="en-GB"/>
              </w:rPr>
              <w:t> </w:t>
            </w:r>
          </w:p>
        </w:tc>
      </w:tr>
      <w:tr w:rsidR="00105DC0" w:rsidRPr="00D4489C" w14:paraId="166A5588" w14:textId="77777777" w:rsidTr="004350B9">
        <w:trPr>
          <w:trHeight w:val="315"/>
          <w:tblHeader/>
        </w:trPr>
        <w:tc>
          <w:tcPr>
            <w:tcW w:w="1000" w:type="pct"/>
            <w:tcBorders>
              <w:top w:val="single" w:sz="4" w:space="0" w:color="auto"/>
              <w:left w:val="single" w:sz="4" w:space="0" w:color="auto"/>
              <w:bottom w:val="single" w:sz="4" w:space="0" w:color="auto"/>
              <w:right w:val="single" w:sz="4" w:space="0" w:color="auto"/>
            </w:tcBorders>
            <w:shd w:val="clear" w:color="000000" w:fill="FFFFFF"/>
            <w:noWrap/>
            <w:hideMark/>
          </w:tcPr>
          <w:p w14:paraId="2A39FEE8" w14:textId="4D71FC5C" w:rsidR="00105DC0" w:rsidRPr="00D4489C" w:rsidRDefault="00105DC0" w:rsidP="00D73374">
            <w:pPr>
              <w:spacing w:line="276" w:lineRule="auto"/>
              <w:rPr>
                <w:rFonts w:eastAsia="Times New Roman" w:cstheme="minorHAnsi"/>
                <w:color w:val="000000"/>
                <w:lang w:eastAsia="en-GB"/>
              </w:rPr>
            </w:pPr>
            <w:r w:rsidRPr="00D4489C">
              <w:rPr>
                <w:rFonts w:cstheme="minorHAnsi"/>
              </w:rPr>
              <w:t>2020</w:t>
            </w:r>
          </w:p>
        </w:tc>
        <w:tc>
          <w:tcPr>
            <w:tcW w:w="1000" w:type="pct"/>
            <w:tcBorders>
              <w:top w:val="single" w:sz="4" w:space="0" w:color="auto"/>
              <w:left w:val="single" w:sz="4" w:space="0" w:color="auto"/>
              <w:bottom w:val="single" w:sz="4" w:space="0" w:color="auto"/>
              <w:right w:val="single" w:sz="4" w:space="0" w:color="auto"/>
            </w:tcBorders>
            <w:shd w:val="clear" w:color="000000" w:fill="FFFFFF"/>
            <w:noWrap/>
            <w:hideMark/>
          </w:tcPr>
          <w:p w14:paraId="0DF4D5D0" w14:textId="615B90B1" w:rsidR="00105DC0" w:rsidRPr="00D4489C" w:rsidRDefault="00105DC0" w:rsidP="00D73374">
            <w:pPr>
              <w:spacing w:line="276" w:lineRule="auto"/>
              <w:jc w:val="center"/>
              <w:rPr>
                <w:rFonts w:eastAsia="Times New Roman" w:cstheme="minorHAnsi"/>
                <w:color w:val="000000"/>
                <w:lang w:eastAsia="en-GB"/>
              </w:rPr>
            </w:pPr>
            <w:r w:rsidRPr="00D4489C">
              <w:rPr>
                <w:rFonts w:cstheme="minorHAnsi"/>
              </w:rPr>
              <w:t>8.1</w:t>
            </w:r>
          </w:p>
        </w:tc>
        <w:tc>
          <w:tcPr>
            <w:tcW w:w="1000" w:type="pct"/>
            <w:tcBorders>
              <w:top w:val="single" w:sz="4" w:space="0" w:color="auto"/>
              <w:left w:val="single" w:sz="4" w:space="0" w:color="auto"/>
              <w:bottom w:val="single" w:sz="4" w:space="0" w:color="auto"/>
              <w:right w:val="single" w:sz="4" w:space="0" w:color="auto"/>
            </w:tcBorders>
            <w:shd w:val="clear" w:color="000000" w:fill="FFFFFF"/>
            <w:noWrap/>
            <w:hideMark/>
          </w:tcPr>
          <w:p w14:paraId="04BB43A4" w14:textId="4D0A6D46" w:rsidR="00105DC0" w:rsidRPr="00D4489C" w:rsidRDefault="00105DC0" w:rsidP="00D73374">
            <w:pPr>
              <w:spacing w:line="276" w:lineRule="auto"/>
              <w:jc w:val="center"/>
              <w:rPr>
                <w:rFonts w:eastAsia="Times New Roman" w:cstheme="minorHAnsi"/>
                <w:color w:val="000000"/>
                <w:lang w:eastAsia="en-GB"/>
              </w:rPr>
            </w:pPr>
            <w:r w:rsidRPr="00D4489C">
              <w:rPr>
                <w:rFonts w:cstheme="minorHAnsi"/>
              </w:rPr>
              <w:t>24.6</w:t>
            </w:r>
          </w:p>
        </w:tc>
        <w:tc>
          <w:tcPr>
            <w:tcW w:w="1000" w:type="pct"/>
            <w:tcBorders>
              <w:top w:val="single" w:sz="4" w:space="0" w:color="auto"/>
              <w:left w:val="single" w:sz="4" w:space="0" w:color="auto"/>
              <w:bottom w:val="single" w:sz="4" w:space="0" w:color="auto"/>
              <w:right w:val="single" w:sz="4" w:space="0" w:color="auto"/>
            </w:tcBorders>
            <w:shd w:val="clear" w:color="000000" w:fill="FFFFFF"/>
            <w:hideMark/>
          </w:tcPr>
          <w:p w14:paraId="1F1E8B19" w14:textId="6B24843F" w:rsidR="00105DC0" w:rsidRPr="00D4489C" w:rsidRDefault="00105DC0" w:rsidP="00D73374">
            <w:pPr>
              <w:spacing w:line="276" w:lineRule="auto"/>
              <w:jc w:val="center"/>
              <w:rPr>
                <w:rFonts w:eastAsia="Times New Roman" w:cstheme="minorHAnsi"/>
                <w:color w:val="000000"/>
                <w:lang w:eastAsia="en-GB"/>
              </w:rPr>
            </w:pPr>
            <w:r w:rsidRPr="00D4489C">
              <w:rPr>
                <w:rFonts w:eastAsia="Times New Roman" w:cstheme="minorHAnsi"/>
                <w:color w:val="808080"/>
                <w:lang w:eastAsia="en-GB"/>
              </w:rPr>
              <w:t>14.3</w:t>
            </w:r>
          </w:p>
        </w:tc>
        <w:tc>
          <w:tcPr>
            <w:tcW w:w="1000" w:type="pct"/>
            <w:tcBorders>
              <w:top w:val="single" w:sz="4" w:space="0" w:color="auto"/>
              <w:left w:val="single" w:sz="4" w:space="0" w:color="auto"/>
              <w:bottom w:val="single" w:sz="4" w:space="0" w:color="auto"/>
              <w:right w:val="single" w:sz="4" w:space="0" w:color="auto"/>
            </w:tcBorders>
            <w:shd w:val="clear" w:color="000000" w:fill="FFFFFF"/>
            <w:hideMark/>
          </w:tcPr>
          <w:p w14:paraId="71CB1179" w14:textId="5584F2E7" w:rsidR="00105DC0" w:rsidRPr="00D4489C" w:rsidRDefault="00105DC0" w:rsidP="00D73374">
            <w:pPr>
              <w:spacing w:line="276" w:lineRule="auto"/>
              <w:jc w:val="center"/>
              <w:rPr>
                <w:rFonts w:eastAsia="Times New Roman" w:cstheme="minorHAnsi"/>
                <w:color w:val="000000"/>
                <w:lang w:eastAsia="en-GB"/>
              </w:rPr>
            </w:pPr>
            <w:r w:rsidRPr="00D4489C">
              <w:rPr>
                <w:rFonts w:cstheme="minorHAnsi"/>
              </w:rPr>
              <w:t>19.3</w:t>
            </w:r>
          </w:p>
        </w:tc>
      </w:tr>
      <w:tr w:rsidR="00105DC0" w:rsidRPr="00D4489C" w14:paraId="1B9FA7F2" w14:textId="77777777" w:rsidTr="004350B9">
        <w:trPr>
          <w:trHeight w:val="315"/>
          <w:tblHeader/>
        </w:trPr>
        <w:tc>
          <w:tcPr>
            <w:tcW w:w="1000" w:type="pct"/>
            <w:tcBorders>
              <w:top w:val="single" w:sz="4" w:space="0" w:color="auto"/>
              <w:left w:val="single" w:sz="4" w:space="0" w:color="auto"/>
              <w:bottom w:val="single" w:sz="4" w:space="0" w:color="auto"/>
              <w:right w:val="single" w:sz="4" w:space="0" w:color="auto"/>
            </w:tcBorders>
            <w:shd w:val="clear" w:color="000000" w:fill="FFFFFF"/>
            <w:noWrap/>
          </w:tcPr>
          <w:p w14:paraId="2ABAE526" w14:textId="5FFEAE14" w:rsidR="00105DC0" w:rsidRPr="00D4489C" w:rsidRDefault="00105DC0" w:rsidP="00D73374">
            <w:pPr>
              <w:spacing w:line="276" w:lineRule="auto"/>
              <w:rPr>
                <w:rFonts w:eastAsia="Times New Roman" w:cstheme="minorHAnsi"/>
                <w:color w:val="000000"/>
                <w:lang w:eastAsia="en-GB"/>
              </w:rPr>
            </w:pPr>
            <w:r w:rsidRPr="00D4489C">
              <w:rPr>
                <w:rFonts w:cstheme="minorHAnsi"/>
              </w:rPr>
              <w:t>2021</w:t>
            </w:r>
          </w:p>
        </w:tc>
        <w:tc>
          <w:tcPr>
            <w:tcW w:w="1000" w:type="pct"/>
            <w:tcBorders>
              <w:top w:val="single" w:sz="4" w:space="0" w:color="auto"/>
              <w:left w:val="single" w:sz="4" w:space="0" w:color="auto"/>
              <w:bottom w:val="single" w:sz="4" w:space="0" w:color="auto"/>
              <w:right w:val="single" w:sz="4" w:space="0" w:color="auto"/>
            </w:tcBorders>
            <w:shd w:val="clear" w:color="000000" w:fill="FFFFFF"/>
            <w:noWrap/>
          </w:tcPr>
          <w:p w14:paraId="5EF5B779" w14:textId="48692B21" w:rsidR="00105DC0" w:rsidRPr="00D4489C" w:rsidRDefault="00105DC0" w:rsidP="00D73374">
            <w:pPr>
              <w:spacing w:line="276" w:lineRule="auto"/>
              <w:jc w:val="center"/>
              <w:rPr>
                <w:rFonts w:eastAsia="Times New Roman" w:cstheme="minorHAnsi"/>
                <w:color w:val="000000"/>
                <w:lang w:eastAsia="en-GB"/>
              </w:rPr>
            </w:pPr>
            <w:r w:rsidRPr="00D4489C">
              <w:rPr>
                <w:rFonts w:cstheme="minorHAnsi"/>
              </w:rPr>
              <w:t>7</w:t>
            </w:r>
          </w:p>
        </w:tc>
        <w:tc>
          <w:tcPr>
            <w:tcW w:w="1000" w:type="pct"/>
            <w:tcBorders>
              <w:top w:val="single" w:sz="4" w:space="0" w:color="auto"/>
              <w:left w:val="single" w:sz="4" w:space="0" w:color="auto"/>
              <w:bottom w:val="single" w:sz="4" w:space="0" w:color="auto"/>
              <w:right w:val="single" w:sz="4" w:space="0" w:color="auto"/>
            </w:tcBorders>
            <w:shd w:val="clear" w:color="000000" w:fill="FFFFFF"/>
            <w:noWrap/>
          </w:tcPr>
          <w:p w14:paraId="138C808A" w14:textId="05A8601E" w:rsidR="00105DC0" w:rsidRPr="00D4489C" w:rsidRDefault="00105DC0" w:rsidP="00D73374">
            <w:pPr>
              <w:spacing w:line="276" w:lineRule="auto"/>
              <w:jc w:val="center"/>
              <w:rPr>
                <w:rFonts w:eastAsia="Times New Roman" w:cstheme="minorHAnsi"/>
                <w:b/>
                <w:color w:val="000000"/>
                <w:lang w:eastAsia="en-GB"/>
              </w:rPr>
            </w:pPr>
            <w:r w:rsidRPr="00D4489C">
              <w:rPr>
                <w:rFonts w:cstheme="minorHAnsi"/>
              </w:rPr>
              <w:t>18.47</w:t>
            </w:r>
          </w:p>
        </w:tc>
        <w:tc>
          <w:tcPr>
            <w:tcW w:w="1000" w:type="pct"/>
            <w:tcBorders>
              <w:top w:val="single" w:sz="4" w:space="0" w:color="auto"/>
              <w:left w:val="single" w:sz="4" w:space="0" w:color="auto"/>
              <w:bottom w:val="single" w:sz="4" w:space="0" w:color="auto"/>
              <w:right w:val="single" w:sz="4" w:space="0" w:color="auto"/>
            </w:tcBorders>
            <w:shd w:val="clear" w:color="000000" w:fill="FFFFFF"/>
          </w:tcPr>
          <w:p w14:paraId="102BF0F9" w14:textId="277C0B2F" w:rsidR="00105DC0" w:rsidRPr="00D4489C" w:rsidRDefault="00105DC0" w:rsidP="00D73374">
            <w:pPr>
              <w:spacing w:line="276" w:lineRule="auto"/>
              <w:jc w:val="center"/>
              <w:rPr>
                <w:rFonts w:eastAsia="Times New Roman" w:cstheme="minorHAnsi"/>
                <w:b/>
                <w:color w:val="000000"/>
                <w:lang w:eastAsia="en-GB"/>
              </w:rPr>
            </w:pPr>
            <w:r w:rsidRPr="00D4489C">
              <w:rPr>
                <w:rFonts w:eastAsia="Times New Roman" w:cstheme="minorHAnsi"/>
                <w:color w:val="808080"/>
                <w:lang w:eastAsia="en-GB"/>
              </w:rPr>
              <w:t>12.21</w:t>
            </w:r>
          </w:p>
        </w:tc>
        <w:tc>
          <w:tcPr>
            <w:tcW w:w="1000" w:type="pct"/>
            <w:tcBorders>
              <w:top w:val="single" w:sz="4" w:space="0" w:color="auto"/>
              <w:left w:val="single" w:sz="4" w:space="0" w:color="auto"/>
              <w:bottom w:val="single" w:sz="4" w:space="0" w:color="auto"/>
              <w:right w:val="single" w:sz="4" w:space="0" w:color="auto"/>
            </w:tcBorders>
            <w:shd w:val="clear" w:color="000000" w:fill="FFFFFF"/>
          </w:tcPr>
          <w:p w14:paraId="00C834D6" w14:textId="5CC5CAF6" w:rsidR="00105DC0" w:rsidRPr="00D4489C" w:rsidRDefault="00105DC0" w:rsidP="00D73374">
            <w:pPr>
              <w:spacing w:line="276" w:lineRule="auto"/>
              <w:jc w:val="center"/>
              <w:rPr>
                <w:rFonts w:eastAsia="Times New Roman" w:cstheme="minorHAnsi"/>
                <w:b/>
                <w:color w:val="000000"/>
                <w:lang w:eastAsia="en-GB"/>
              </w:rPr>
            </w:pPr>
            <w:r w:rsidRPr="00D4489C">
              <w:rPr>
                <w:rFonts w:cstheme="minorHAnsi"/>
              </w:rPr>
              <w:t>16.67</w:t>
            </w:r>
          </w:p>
        </w:tc>
      </w:tr>
      <w:tr w:rsidR="00F15DB5" w:rsidRPr="00D4489C" w14:paraId="3EC82CFA" w14:textId="77777777" w:rsidTr="004350B9">
        <w:trPr>
          <w:trHeight w:val="315"/>
          <w:tblHeader/>
        </w:trPr>
        <w:tc>
          <w:tcPr>
            <w:tcW w:w="1000" w:type="pct"/>
            <w:tcBorders>
              <w:top w:val="single" w:sz="4" w:space="0" w:color="auto"/>
              <w:left w:val="single" w:sz="4" w:space="0" w:color="auto"/>
              <w:bottom w:val="single" w:sz="4" w:space="0" w:color="auto"/>
              <w:right w:val="single" w:sz="4" w:space="0" w:color="auto"/>
            </w:tcBorders>
            <w:shd w:val="clear" w:color="000000" w:fill="FFFFFF"/>
            <w:noWrap/>
          </w:tcPr>
          <w:p w14:paraId="467D63D2" w14:textId="692A8208" w:rsidR="00F15DB5" w:rsidRPr="00D4489C" w:rsidRDefault="000A6367" w:rsidP="00D73374">
            <w:pPr>
              <w:spacing w:line="276" w:lineRule="auto"/>
              <w:rPr>
                <w:rFonts w:cstheme="minorHAnsi"/>
              </w:rPr>
            </w:pPr>
            <w:r w:rsidRPr="00D4489C">
              <w:rPr>
                <w:rFonts w:cstheme="minorHAnsi"/>
              </w:rPr>
              <w:t>202</w:t>
            </w:r>
            <w:r w:rsidR="000F1A85" w:rsidRPr="00D4489C">
              <w:rPr>
                <w:rFonts w:cstheme="minorHAnsi"/>
              </w:rPr>
              <w:t>2</w:t>
            </w:r>
          </w:p>
        </w:tc>
        <w:tc>
          <w:tcPr>
            <w:tcW w:w="1000" w:type="pct"/>
            <w:tcBorders>
              <w:top w:val="single" w:sz="4" w:space="0" w:color="auto"/>
              <w:left w:val="single" w:sz="4" w:space="0" w:color="auto"/>
              <w:bottom w:val="single" w:sz="4" w:space="0" w:color="auto"/>
              <w:right w:val="single" w:sz="4" w:space="0" w:color="auto"/>
            </w:tcBorders>
            <w:shd w:val="clear" w:color="000000" w:fill="FFFFFF"/>
            <w:noWrap/>
          </w:tcPr>
          <w:p w14:paraId="536B44EE" w14:textId="0720EED2" w:rsidR="00F15DB5" w:rsidRPr="00D4489C" w:rsidRDefault="00670237" w:rsidP="00D73374">
            <w:pPr>
              <w:spacing w:line="276" w:lineRule="auto"/>
              <w:jc w:val="center"/>
              <w:rPr>
                <w:rFonts w:cstheme="minorHAnsi"/>
              </w:rPr>
            </w:pPr>
            <w:r w:rsidRPr="00D4489C">
              <w:rPr>
                <w:rFonts w:cstheme="minorHAnsi"/>
              </w:rPr>
              <w:t>7.1</w:t>
            </w:r>
          </w:p>
        </w:tc>
        <w:tc>
          <w:tcPr>
            <w:tcW w:w="1000" w:type="pct"/>
            <w:tcBorders>
              <w:top w:val="single" w:sz="4" w:space="0" w:color="auto"/>
              <w:left w:val="single" w:sz="4" w:space="0" w:color="auto"/>
              <w:bottom w:val="single" w:sz="4" w:space="0" w:color="auto"/>
              <w:right w:val="single" w:sz="4" w:space="0" w:color="auto"/>
            </w:tcBorders>
            <w:shd w:val="clear" w:color="000000" w:fill="FFFFFF"/>
            <w:noWrap/>
          </w:tcPr>
          <w:p w14:paraId="55404FE7" w14:textId="7379F36A" w:rsidR="00F15DB5" w:rsidRPr="00D4489C" w:rsidRDefault="00670237" w:rsidP="00D73374">
            <w:pPr>
              <w:spacing w:line="276" w:lineRule="auto"/>
              <w:jc w:val="center"/>
              <w:rPr>
                <w:rFonts w:cstheme="minorHAnsi"/>
              </w:rPr>
            </w:pPr>
            <w:r w:rsidRPr="00D4489C">
              <w:rPr>
                <w:rFonts w:cstheme="minorHAnsi"/>
              </w:rPr>
              <w:t>16.36</w:t>
            </w:r>
          </w:p>
        </w:tc>
        <w:tc>
          <w:tcPr>
            <w:tcW w:w="1000" w:type="pct"/>
            <w:tcBorders>
              <w:top w:val="single" w:sz="4" w:space="0" w:color="auto"/>
              <w:left w:val="single" w:sz="4" w:space="0" w:color="auto"/>
              <w:bottom w:val="single" w:sz="4" w:space="0" w:color="auto"/>
              <w:right w:val="single" w:sz="4" w:space="0" w:color="auto"/>
            </w:tcBorders>
            <w:shd w:val="clear" w:color="000000" w:fill="FFFFFF"/>
          </w:tcPr>
          <w:p w14:paraId="1F462AE9" w14:textId="4B90D879" w:rsidR="00F15DB5" w:rsidRPr="00D4489C" w:rsidRDefault="00670237" w:rsidP="00D73374">
            <w:pPr>
              <w:spacing w:line="276" w:lineRule="auto"/>
              <w:jc w:val="center"/>
              <w:rPr>
                <w:rFonts w:eastAsia="Times New Roman" w:cstheme="minorHAnsi"/>
                <w:color w:val="808080"/>
                <w:lang w:eastAsia="en-GB"/>
              </w:rPr>
            </w:pPr>
            <w:r w:rsidRPr="00D4489C">
              <w:rPr>
                <w:rFonts w:eastAsia="Times New Roman" w:cstheme="minorHAnsi"/>
                <w:color w:val="808080"/>
                <w:lang w:eastAsia="en-GB"/>
              </w:rPr>
              <w:t>12.38</w:t>
            </w:r>
          </w:p>
        </w:tc>
        <w:tc>
          <w:tcPr>
            <w:tcW w:w="1000" w:type="pct"/>
            <w:tcBorders>
              <w:top w:val="single" w:sz="4" w:space="0" w:color="auto"/>
              <w:left w:val="single" w:sz="4" w:space="0" w:color="auto"/>
              <w:bottom w:val="single" w:sz="4" w:space="0" w:color="auto"/>
              <w:right w:val="single" w:sz="4" w:space="0" w:color="auto"/>
            </w:tcBorders>
            <w:shd w:val="clear" w:color="000000" w:fill="FFFFFF"/>
          </w:tcPr>
          <w:p w14:paraId="61E8E5E3" w14:textId="69AEAAD3" w:rsidR="00F15DB5" w:rsidRPr="00D4489C" w:rsidRDefault="00670237" w:rsidP="00D73374">
            <w:pPr>
              <w:spacing w:line="276" w:lineRule="auto"/>
              <w:jc w:val="center"/>
              <w:rPr>
                <w:rFonts w:cstheme="minorHAnsi"/>
              </w:rPr>
            </w:pPr>
            <w:r w:rsidRPr="00D4489C">
              <w:rPr>
                <w:rFonts w:cstheme="minorHAnsi"/>
              </w:rPr>
              <w:t>16.9</w:t>
            </w:r>
          </w:p>
        </w:tc>
      </w:tr>
      <w:tr w:rsidR="00D471C1" w:rsidRPr="00D4489C" w14:paraId="5FC7A54F" w14:textId="77777777" w:rsidTr="00E07C96">
        <w:trPr>
          <w:trHeight w:val="315"/>
          <w:tblHeader/>
        </w:trPr>
        <w:tc>
          <w:tcPr>
            <w:tcW w:w="1000" w:type="pct"/>
            <w:tcBorders>
              <w:top w:val="single" w:sz="4" w:space="0" w:color="auto"/>
              <w:left w:val="single" w:sz="4" w:space="0" w:color="auto"/>
              <w:bottom w:val="single" w:sz="4" w:space="0" w:color="auto"/>
              <w:right w:val="single" w:sz="4" w:space="0" w:color="auto"/>
            </w:tcBorders>
            <w:shd w:val="clear" w:color="000000" w:fill="FFFFFF"/>
            <w:noWrap/>
          </w:tcPr>
          <w:p w14:paraId="550768A3" w14:textId="787865F3" w:rsidR="00D471C1" w:rsidRPr="00D4489C" w:rsidRDefault="00D471C1" w:rsidP="00D73374">
            <w:pPr>
              <w:spacing w:line="276" w:lineRule="auto"/>
              <w:rPr>
                <w:rFonts w:cstheme="minorHAnsi"/>
              </w:rPr>
            </w:pPr>
            <w:r w:rsidRPr="00D4489C">
              <w:rPr>
                <w:rFonts w:cstheme="minorHAnsi"/>
              </w:rPr>
              <w:t>2023</w:t>
            </w:r>
          </w:p>
        </w:tc>
        <w:tc>
          <w:tcPr>
            <w:tcW w:w="1000" w:type="pct"/>
            <w:tcBorders>
              <w:top w:val="single" w:sz="4" w:space="0" w:color="auto"/>
              <w:left w:val="single" w:sz="4" w:space="0" w:color="auto"/>
              <w:bottom w:val="single" w:sz="4" w:space="0" w:color="auto"/>
              <w:right w:val="single" w:sz="4" w:space="0" w:color="auto"/>
            </w:tcBorders>
            <w:shd w:val="clear" w:color="000000" w:fill="FFFFFF"/>
            <w:noWrap/>
          </w:tcPr>
          <w:p w14:paraId="1846193F" w14:textId="0C3958E4" w:rsidR="00D471C1" w:rsidRPr="00D4489C" w:rsidRDefault="00D471C1" w:rsidP="00D73374">
            <w:pPr>
              <w:spacing w:line="276" w:lineRule="auto"/>
              <w:jc w:val="center"/>
              <w:rPr>
                <w:rFonts w:cstheme="minorHAnsi"/>
              </w:rPr>
            </w:pPr>
            <w:r w:rsidRPr="00D4489C">
              <w:rPr>
                <w:rFonts w:cstheme="minorHAnsi"/>
              </w:rPr>
              <w:t>6.</w:t>
            </w:r>
            <w:r w:rsidR="006A61BE">
              <w:rPr>
                <w:rFonts w:cstheme="minorHAnsi"/>
              </w:rPr>
              <w:t>3</w:t>
            </w:r>
          </w:p>
        </w:tc>
        <w:tc>
          <w:tcPr>
            <w:tcW w:w="100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434C2B" w14:textId="33ACB3BA" w:rsidR="00D471C1" w:rsidRPr="00D4489C" w:rsidRDefault="00D471C1" w:rsidP="00D73374">
            <w:pPr>
              <w:spacing w:line="276" w:lineRule="auto"/>
              <w:jc w:val="center"/>
              <w:rPr>
                <w:rFonts w:cstheme="minorHAnsi"/>
              </w:rPr>
            </w:pPr>
            <w:r>
              <w:rPr>
                <w:rFonts w:ascii="Calibri" w:hAnsi="Calibri" w:cs="Calibri"/>
                <w:color w:val="000000"/>
              </w:rPr>
              <w:t>13</w:t>
            </w:r>
          </w:p>
        </w:tc>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tcPr>
          <w:p w14:paraId="34CDF5FF" w14:textId="5CA7F259" w:rsidR="00D471C1" w:rsidRPr="00D4489C" w:rsidRDefault="00D471C1" w:rsidP="00D73374">
            <w:pPr>
              <w:spacing w:line="276" w:lineRule="auto"/>
              <w:jc w:val="center"/>
              <w:rPr>
                <w:rFonts w:eastAsia="Times New Roman" w:cstheme="minorHAnsi"/>
                <w:color w:val="808080"/>
                <w:lang w:eastAsia="en-GB"/>
              </w:rPr>
            </w:pPr>
            <w:r>
              <w:rPr>
                <w:rFonts w:ascii="Calibri" w:hAnsi="Calibri" w:cs="Calibri"/>
                <w:color w:val="000000"/>
              </w:rPr>
              <w:t>11</w:t>
            </w:r>
          </w:p>
        </w:tc>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tcPr>
          <w:p w14:paraId="5C631273" w14:textId="1A671D35" w:rsidR="00D471C1" w:rsidRPr="00D4489C" w:rsidRDefault="00D471C1" w:rsidP="00D73374">
            <w:pPr>
              <w:spacing w:line="276" w:lineRule="auto"/>
              <w:jc w:val="center"/>
              <w:rPr>
                <w:rFonts w:cstheme="minorHAnsi"/>
              </w:rPr>
            </w:pPr>
            <w:r>
              <w:rPr>
                <w:rFonts w:ascii="Calibri" w:hAnsi="Calibri" w:cs="Calibri"/>
                <w:color w:val="000000"/>
              </w:rPr>
              <w:t>15</w:t>
            </w:r>
          </w:p>
        </w:tc>
      </w:tr>
    </w:tbl>
    <w:p w14:paraId="36E72DC7" w14:textId="5C77DBF3" w:rsidR="005D0979" w:rsidRDefault="005D0979" w:rsidP="00D73374">
      <w:pPr>
        <w:pStyle w:val="Sub-heading"/>
        <w:spacing w:before="240" w:after="240" w:line="276" w:lineRule="auto"/>
        <w:jc w:val="left"/>
        <w:outlineLvl w:val="1"/>
        <w:rPr>
          <w:color w:val="auto"/>
          <w:sz w:val="24"/>
          <w:szCs w:val="24"/>
        </w:rPr>
      </w:pPr>
      <w:bookmarkStart w:id="24" w:name="_Toc500147120"/>
      <w:bookmarkStart w:id="25" w:name="_Toc522792094"/>
      <w:bookmarkStart w:id="26" w:name="_Toc198549801"/>
      <w:r w:rsidRPr="00037338">
        <w:rPr>
          <w:color w:val="auto"/>
          <w:sz w:val="24"/>
          <w:szCs w:val="24"/>
        </w:rPr>
        <w:t xml:space="preserve">New Permissions for Sand and Gravel Extraction </w:t>
      </w:r>
      <w:bookmarkEnd w:id="24"/>
      <w:bookmarkEnd w:id="25"/>
      <w:r w:rsidR="000A6367" w:rsidRPr="00037338">
        <w:rPr>
          <w:color w:val="auto"/>
          <w:sz w:val="24"/>
          <w:szCs w:val="24"/>
        </w:rPr>
        <w:t>202</w:t>
      </w:r>
      <w:r w:rsidR="004B3FB2" w:rsidRPr="00037338">
        <w:rPr>
          <w:color w:val="auto"/>
          <w:sz w:val="24"/>
          <w:szCs w:val="24"/>
        </w:rPr>
        <w:t>3</w:t>
      </w:r>
      <w:bookmarkEnd w:id="26"/>
    </w:p>
    <w:p w14:paraId="5DD3F47F" w14:textId="2DA4227C" w:rsidR="00DC2F4C" w:rsidRPr="00DC2F4C" w:rsidRDefault="00182810" w:rsidP="00D73374">
      <w:pPr>
        <w:numPr>
          <w:ilvl w:val="0"/>
          <w:numId w:val="3"/>
        </w:numPr>
        <w:spacing w:before="240" w:after="200" w:line="276" w:lineRule="auto"/>
        <w:ind w:left="426"/>
        <w:rPr>
          <w:rFonts w:ascii="Arial" w:eastAsia="Times New Roman" w:hAnsi="Arial" w:cs="Arial"/>
        </w:rPr>
      </w:pPr>
      <w:r>
        <w:rPr>
          <w:rFonts w:ascii="Arial" w:eastAsia="Times New Roman" w:hAnsi="Arial" w:cs="Arial"/>
        </w:rPr>
        <w:t xml:space="preserve">Table 5 below shows a consolidation of a planning consent at Dale Pit Quarry and a new consent at Great North Road, Rossington. </w:t>
      </w:r>
      <w:r w:rsidR="007A737B" w:rsidRPr="000D2BE7">
        <w:rPr>
          <w:rFonts w:ascii="Arial" w:eastAsia="Times New Roman" w:hAnsi="Arial" w:cs="Arial"/>
        </w:rPr>
        <w:t>Even though a new consent at Rossington Quarry is included</w:t>
      </w:r>
      <w:r w:rsidR="00302BFF" w:rsidRPr="000D2BE7">
        <w:rPr>
          <w:rFonts w:ascii="Arial" w:eastAsia="Times New Roman" w:hAnsi="Arial" w:cs="Arial"/>
        </w:rPr>
        <w:t xml:space="preserve"> in 2023</w:t>
      </w:r>
      <w:r w:rsidR="007A737B" w:rsidRPr="000D2BE7">
        <w:rPr>
          <w:rFonts w:ascii="Arial" w:eastAsia="Times New Roman" w:hAnsi="Arial" w:cs="Arial"/>
        </w:rPr>
        <w:t xml:space="preserve">, the sand and gravel reserve </w:t>
      </w:r>
      <w:r>
        <w:rPr>
          <w:rFonts w:ascii="Arial" w:eastAsia="Times New Roman" w:hAnsi="Arial" w:cs="Arial"/>
        </w:rPr>
        <w:t xml:space="preserve">(table 4 above) </w:t>
      </w:r>
      <w:r w:rsidR="007A737B" w:rsidRPr="000D2BE7">
        <w:rPr>
          <w:rFonts w:ascii="Arial" w:eastAsia="Times New Roman" w:hAnsi="Arial" w:cs="Arial"/>
        </w:rPr>
        <w:t>has reduced by 1Mt due to a re-estimate of remaining reserves relating to</w:t>
      </w:r>
      <w:r w:rsidR="00842715">
        <w:rPr>
          <w:rFonts w:ascii="Arial" w:eastAsia="Times New Roman" w:hAnsi="Arial" w:cs="Arial"/>
        </w:rPr>
        <w:t xml:space="preserve"> North Side Bank End Road</w:t>
      </w:r>
      <w:r w:rsidR="00430FD5">
        <w:rPr>
          <w:rFonts w:ascii="Arial" w:eastAsia="Times New Roman" w:hAnsi="Arial" w:cs="Arial"/>
        </w:rPr>
        <w:t>.</w:t>
      </w:r>
      <w:r w:rsidR="00F77574">
        <w:rPr>
          <w:rFonts w:ascii="Arial" w:eastAsia="Times New Roman" w:hAnsi="Arial" w:cs="Arial"/>
        </w:rPr>
        <w:t xml:space="preserve"> </w:t>
      </w:r>
    </w:p>
    <w:p w14:paraId="275797BC" w14:textId="34CA6586" w:rsidR="00DC2F4C" w:rsidRPr="00104D57" w:rsidRDefault="00D506A3" w:rsidP="00D73374">
      <w:pPr>
        <w:pStyle w:val="Sub-heading"/>
        <w:spacing w:line="276" w:lineRule="auto"/>
        <w:jc w:val="left"/>
        <w:outlineLvl w:val="1"/>
        <w:rPr>
          <w:color w:val="auto"/>
          <w:sz w:val="22"/>
          <w:szCs w:val="22"/>
        </w:rPr>
      </w:pPr>
      <w:bookmarkStart w:id="27" w:name="_Toc198549802"/>
      <w:r w:rsidRPr="00104D57">
        <w:rPr>
          <w:color w:val="auto"/>
          <w:sz w:val="22"/>
          <w:szCs w:val="22"/>
        </w:rPr>
        <w:t xml:space="preserve">Table </w:t>
      </w:r>
      <w:r w:rsidR="00264F3B" w:rsidRPr="00104D57">
        <w:rPr>
          <w:color w:val="auto"/>
          <w:sz w:val="22"/>
          <w:szCs w:val="22"/>
        </w:rPr>
        <w:t>5</w:t>
      </w:r>
      <w:r w:rsidRPr="00104D57">
        <w:rPr>
          <w:color w:val="auto"/>
          <w:sz w:val="22"/>
          <w:szCs w:val="22"/>
        </w:rPr>
        <w:t>. New Permissions</w:t>
      </w:r>
      <w:r w:rsidR="00DC2F4C" w:rsidRPr="00104D57">
        <w:rPr>
          <w:color w:val="auto"/>
          <w:sz w:val="22"/>
          <w:szCs w:val="22"/>
        </w:rPr>
        <w:t xml:space="preserve"> </w:t>
      </w:r>
      <w:r w:rsidRPr="00104D57">
        <w:rPr>
          <w:color w:val="auto"/>
          <w:sz w:val="22"/>
          <w:szCs w:val="22"/>
        </w:rPr>
        <w:t>(Sand and Gravel)</w:t>
      </w:r>
      <w:r w:rsidR="00DC2F4C" w:rsidRPr="00104D57">
        <w:rPr>
          <w:color w:val="auto"/>
          <w:sz w:val="22"/>
          <w:szCs w:val="22"/>
        </w:rPr>
        <w:t xml:space="preserve"> </w:t>
      </w:r>
      <w:r w:rsidR="000A6367" w:rsidRPr="00104D57">
        <w:rPr>
          <w:color w:val="auto"/>
          <w:sz w:val="22"/>
          <w:szCs w:val="22"/>
        </w:rPr>
        <w:t>202</w:t>
      </w:r>
      <w:r w:rsidR="00104D57" w:rsidRPr="00104D57">
        <w:rPr>
          <w:color w:val="auto"/>
          <w:sz w:val="22"/>
          <w:szCs w:val="22"/>
        </w:rPr>
        <w:t>3</w:t>
      </w:r>
      <w:bookmarkEnd w:id="27"/>
    </w:p>
    <w:tbl>
      <w:tblPr>
        <w:tblStyle w:val="TableGrid"/>
        <w:tblW w:w="9016" w:type="dxa"/>
        <w:tblLook w:val="04A0" w:firstRow="1" w:lastRow="0" w:firstColumn="1" w:lastColumn="0" w:noHBand="0" w:noVBand="1"/>
        <w:tblCaption w:val="New Permissions for Sand and Gravel Extraction "/>
        <w:tblDescription w:val="New Permissions for Sand and Gravel Extraction "/>
      </w:tblPr>
      <w:tblGrid>
        <w:gridCol w:w="1589"/>
        <w:gridCol w:w="2021"/>
        <w:gridCol w:w="1553"/>
        <w:gridCol w:w="2372"/>
        <w:gridCol w:w="1481"/>
      </w:tblGrid>
      <w:tr w:rsidR="004E4667" w:rsidRPr="004E4667" w14:paraId="41A8C61C" w14:textId="77777777" w:rsidTr="00F615CB">
        <w:trPr>
          <w:trHeight w:val="300"/>
          <w:tblHeader/>
        </w:trPr>
        <w:tc>
          <w:tcPr>
            <w:tcW w:w="1589" w:type="dxa"/>
            <w:hideMark/>
          </w:tcPr>
          <w:p w14:paraId="1FF96234" w14:textId="77777777" w:rsidR="004E4667" w:rsidRPr="004E4667" w:rsidRDefault="004E4667" w:rsidP="00D73374">
            <w:pPr>
              <w:spacing w:line="276" w:lineRule="auto"/>
              <w:rPr>
                <w:rFonts w:ascii="Calibri" w:eastAsia="Times New Roman" w:hAnsi="Calibri" w:cs="Calibri"/>
                <w:b/>
                <w:bCs/>
                <w:color w:val="000000"/>
                <w:lang w:eastAsia="en-GB"/>
              </w:rPr>
            </w:pPr>
            <w:r w:rsidRPr="004E4667">
              <w:rPr>
                <w:rFonts w:ascii="Calibri" w:eastAsia="Times New Roman" w:hAnsi="Calibri" w:cs="Calibri"/>
                <w:b/>
                <w:bCs/>
                <w:color w:val="000000"/>
                <w:lang w:eastAsia="en-GB"/>
              </w:rPr>
              <w:t>Name</w:t>
            </w:r>
          </w:p>
        </w:tc>
        <w:tc>
          <w:tcPr>
            <w:tcW w:w="2021" w:type="dxa"/>
            <w:hideMark/>
          </w:tcPr>
          <w:p w14:paraId="3D393896" w14:textId="77777777" w:rsidR="004E4667" w:rsidRPr="004E4667" w:rsidRDefault="004E4667" w:rsidP="00D73374">
            <w:pPr>
              <w:spacing w:line="276" w:lineRule="auto"/>
              <w:rPr>
                <w:rFonts w:ascii="Calibri" w:eastAsia="Times New Roman" w:hAnsi="Calibri" w:cs="Calibri"/>
                <w:b/>
                <w:bCs/>
                <w:color w:val="000000"/>
                <w:lang w:eastAsia="en-GB"/>
              </w:rPr>
            </w:pPr>
            <w:r w:rsidRPr="004E4667">
              <w:rPr>
                <w:rFonts w:ascii="Calibri" w:eastAsia="Times New Roman" w:hAnsi="Calibri" w:cs="Calibri"/>
                <w:b/>
                <w:bCs/>
                <w:color w:val="000000"/>
                <w:lang w:eastAsia="en-GB"/>
              </w:rPr>
              <w:t>Operator/Applicant</w:t>
            </w:r>
          </w:p>
        </w:tc>
        <w:tc>
          <w:tcPr>
            <w:tcW w:w="1553" w:type="dxa"/>
            <w:hideMark/>
          </w:tcPr>
          <w:p w14:paraId="573CA836" w14:textId="37453A66" w:rsidR="004E4667" w:rsidRPr="004E4667" w:rsidRDefault="004E4667" w:rsidP="00D73374">
            <w:pPr>
              <w:spacing w:line="276" w:lineRule="auto"/>
              <w:rPr>
                <w:rFonts w:ascii="Calibri" w:eastAsia="Times New Roman" w:hAnsi="Calibri" w:cs="Calibri"/>
                <w:b/>
                <w:bCs/>
                <w:color w:val="000000"/>
                <w:lang w:eastAsia="en-GB"/>
              </w:rPr>
            </w:pPr>
            <w:r w:rsidRPr="004E4667">
              <w:rPr>
                <w:rFonts w:ascii="Calibri" w:eastAsia="Times New Roman" w:hAnsi="Calibri" w:cs="Calibri"/>
                <w:b/>
                <w:bCs/>
                <w:color w:val="000000"/>
                <w:lang w:eastAsia="en-GB"/>
              </w:rPr>
              <w:t>App</w:t>
            </w:r>
            <w:r w:rsidR="00F615CB">
              <w:rPr>
                <w:rFonts w:ascii="Calibri" w:eastAsia="Times New Roman" w:hAnsi="Calibri" w:cs="Calibri"/>
                <w:b/>
                <w:bCs/>
                <w:color w:val="000000"/>
                <w:lang w:eastAsia="en-GB"/>
              </w:rPr>
              <w:t xml:space="preserve">lication </w:t>
            </w:r>
            <w:r w:rsidRPr="004E4667">
              <w:rPr>
                <w:rFonts w:ascii="Calibri" w:eastAsia="Times New Roman" w:hAnsi="Calibri" w:cs="Calibri"/>
                <w:b/>
                <w:bCs/>
                <w:color w:val="000000"/>
                <w:lang w:eastAsia="en-GB"/>
              </w:rPr>
              <w:t>Number</w:t>
            </w:r>
          </w:p>
        </w:tc>
        <w:tc>
          <w:tcPr>
            <w:tcW w:w="2372" w:type="dxa"/>
            <w:hideMark/>
          </w:tcPr>
          <w:p w14:paraId="4D0DF1AA" w14:textId="77777777" w:rsidR="004E4667" w:rsidRPr="004E4667" w:rsidRDefault="004E4667" w:rsidP="00D73374">
            <w:pPr>
              <w:spacing w:line="276" w:lineRule="auto"/>
              <w:rPr>
                <w:rFonts w:ascii="Calibri" w:eastAsia="Times New Roman" w:hAnsi="Calibri" w:cs="Calibri"/>
                <w:b/>
                <w:bCs/>
                <w:color w:val="000000"/>
                <w:lang w:eastAsia="en-GB"/>
              </w:rPr>
            </w:pPr>
            <w:r w:rsidRPr="004E4667">
              <w:rPr>
                <w:rFonts w:ascii="Calibri" w:eastAsia="Times New Roman" w:hAnsi="Calibri" w:cs="Calibri"/>
                <w:b/>
                <w:bCs/>
                <w:color w:val="000000"/>
                <w:lang w:eastAsia="en-GB"/>
              </w:rPr>
              <w:t>Details</w:t>
            </w:r>
          </w:p>
        </w:tc>
        <w:tc>
          <w:tcPr>
            <w:tcW w:w="1481" w:type="dxa"/>
            <w:hideMark/>
          </w:tcPr>
          <w:p w14:paraId="2AFCDCA1" w14:textId="77777777" w:rsidR="004E4667" w:rsidRPr="004E4667" w:rsidRDefault="004E4667" w:rsidP="00D73374">
            <w:pPr>
              <w:spacing w:line="276" w:lineRule="auto"/>
              <w:rPr>
                <w:rFonts w:ascii="Calibri" w:eastAsia="Times New Roman" w:hAnsi="Calibri" w:cs="Calibri"/>
                <w:b/>
                <w:bCs/>
                <w:color w:val="000000"/>
                <w:lang w:eastAsia="en-GB"/>
              </w:rPr>
            </w:pPr>
            <w:r w:rsidRPr="004E4667">
              <w:rPr>
                <w:rFonts w:ascii="Calibri" w:eastAsia="Times New Roman" w:hAnsi="Calibri" w:cs="Calibri"/>
                <w:b/>
                <w:bCs/>
                <w:color w:val="000000"/>
                <w:lang w:eastAsia="en-GB"/>
              </w:rPr>
              <w:t>Notes</w:t>
            </w:r>
          </w:p>
        </w:tc>
      </w:tr>
      <w:tr w:rsidR="004E4667" w:rsidRPr="004E4667" w14:paraId="6BB00077" w14:textId="77777777" w:rsidTr="00104D57">
        <w:trPr>
          <w:trHeight w:val="1800"/>
        </w:trPr>
        <w:tc>
          <w:tcPr>
            <w:tcW w:w="1589" w:type="dxa"/>
            <w:hideMark/>
          </w:tcPr>
          <w:p w14:paraId="02C4EDCD" w14:textId="77777777" w:rsidR="004E4667" w:rsidRPr="004E4667" w:rsidRDefault="004E4667" w:rsidP="00D73374">
            <w:pPr>
              <w:spacing w:line="276" w:lineRule="auto"/>
              <w:rPr>
                <w:rFonts w:ascii="Calibri" w:eastAsia="Times New Roman" w:hAnsi="Calibri" w:cs="Calibri"/>
                <w:lang w:eastAsia="en-GB"/>
              </w:rPr>
            </w:pPr>
            <w:r w:rsidRPr="004E4667">
              <w:rPr>
                <w:rFonts w:ascii="Calibri" w:eastAsia="Times New Roman" w:hAnsi="Calibri" w:cs="Calibri"/>
                <w:lang w:eastAsia="en-GB"/>
              </w:rPr>
              <w:t>Dale Pit Quarry</w:t>
            </w:r>
          </w:p>
        </w:tc>
        <w:tc>
          <w:tcPr>
            <w:tcW w:w="2021" w:type="dxa"/>
            <w:hideMark/>
          </w:tcPr>
          <w:p w14:paraId="57E38BD7" w14:textId="77777777" w:rsidR="004E4667" w:rsidRPr="004E4667" w:rsidRDefault="004E4667" w:rsidP="00D73374">
            <w:pPr>
              <w:spacing w:line="276" w:lineRule="auto"/>
              <w:rPr>
                <w:rFonts w:ascii="Calibri" w:eastAsia="Times New Roman" w:hAnsi="Calibri" w:cs="Calibri"/>
                <w:lang w:eastAsia="en-GB"/>
              </w:rPr>
            </w:pPr>
            <w:r w:rsidRPr="004E4667">
              <w:rPr>
                <w:rFonts w:ascii="Calibri" w:eastAsia="Times New Roman" w:hAnsi="Calibri" w:cs="Calibri"/>
                <w:lang w:eastAsia="en-GB"/>
              </w:rPr>
              <w:t>John Holt - Dale Pitt Aggregates</w:t>
            </w:r>
          </w:p>
        </w:tc>
        <w:tc>
          <w:tcPr>
            <w:tcW w:w="1553" w:type="dxa"/>
            <w:hideMark/>
          </w:tcPr>
          <w:p w14:paraId="4F78A40E" w14:textId="77777777" w:rsidR="004E4667" w:rsidRPr="004E4667" w:rsidRDefault="004E4667" w:rsidP="00D73374">
            <w:pPr>
              <w:spacing w:line="276" w:lineRule="auto"/>
              <w:rPr>
                <w:rFonts w:ascii="Calibri" w:eastAsia="Times New Roman" w:hAnsi="Calibri" w:cs="Calibri"/>
                <w:lang w:eastAsia="en-GB"/>
              </w:rPr>
            </w:pPr>
            <w:r w:rsidRPr="004E4667">
              <w:rPr>
                <w:rFonts w:ascii="Calibri" w:eastAsia="Times New Roman" w:hAnsi="Calibri" w:cs="Calibri"/>
                <w:lang w:eastAsia="en-GB"/>
              </w:rPr>
              <w:t>21/00534/MIN</w:t>
            </w:r>
          </w:p>
        </w:tc>
        <w:tc>
          <w:tcPr>
            <w:tcW w:w="2372" w:type="dxa"/>
            <w:hideMark/>
          </w:tcPr>
          <w:p w14:paraId="623A7B9C" w14:textId="77777777" w:rsidR="004E4667" w:rsidRPr="004E4667" w:rsidRDefault="004E4667" w:rsidP="00D73374">
            <w:pPr>
              <w:spacing w:line="276" w:lineRule="auto"/>
              <w:rPr>
                <w:rFonts w:ascii="Calibri" w:eastAsia="Times New Roman" w:hAnsi="Calibri" w:cs="Calibri"/>
                <w:lang w:eastAsia="en-GB"/>
              </w:rPr>
            </w:pPr>
            <w:r w:rsidRPr="004E4667">
              <w:rPr>
                <w:rFonts w:ascii="Calibri" w:eastAsia="Times New Roman" w:hAnsi="Calibri" w:cs="Calibri"/>
                <w:lang w:eastAsia="en-GB"/>
              </w:rPr>
              <w:t xml:space="preserve">A planning application for the extraction of sand and gravel and the restoration of the land to a landform suitable for nature conservation and ancillary activities together with the </w:t>
            </w:r>
            <w:r w:rsidRPr="004E4667">
              <w:rPr>
                <w:rFonts w:ascii="Calibri" w:eastAsia="Times New Roman" w:hAnsi="Calibri" w:cs="Calibri"/>
                <w:u w:val="single"/>
                <w:lang w:eastAsia="en-GB"/>
              </w:rPr>
              <w:t xml:space="preserve">consolidation of </w:t>
            </w:r>
            <w:r w:rsidRPr="004E4667">
              <w:rPr>
                <w:rFonts w:ascii="Calibri" w:eastAsia="Times New Roman" w:hAnsi="Calibri" w:cs="Calibri"/>
                <w:u w:val="single"/>
                <w:lang w:eastAsia="en-GB"/>
              </w:rPr>
              <w:lastRenderedPageBreak/>
              <w:t>Planning Permission 18/01656/MIN.</w:t>
            </w:r>
          </w:p>
        </w:tc>
        <w:tc>
          <w:tcPr>
            <w:tcW w:w="1481" w:type="dxa"/>
            <w:hideMark/>
          </w:tcPr>
          <w:p w14:paraId="78A4F74B" w14:textId="1993EF77" w:rsidR="004E4667" w:rsidRPr="004E4667" w:rsidRDefault="004E4667" w:rsidP="00D73374">
            <w:pPr>
              <w:spacing w:line="276" w:lineRule="auto"/>
              <w:rPr>
                <w:rFonts w:ascii="Calibri" w:eastAsia="Times New Roman" w:hAnsi="Calibri" w:cs="Calibri"/>
                <w:color w:val="00B050"/>
                <w:lang w:eastAsia="en-GB"/>
              </w:rPr>
            </w:pPr>
            <w:r w:rsidRPr="004E4667">
              <w:rPr>
                <w:rFonts w:ascii="Calibri" w:eastAsia="Times New Roman" w:hAnsi="Calibri" w:cs="Calibri"/>
                <w:color w:val="00B050"/>
                <w:lang w:eastAsia="en-GB"/>
              </w:rPr>
              <w:lastRenderedPageBreak/>
              <w:t xml:space="preserve">Approved </w:t>
            </w:r>
            <w:r w:rsidRPr="004E4667">
              <w:rPr>
                <w:rFonts w:ascii="Calibri" w:eastAsia="Times New Roman" w:hAnsi="Calibri" w:cs="Calibri"/>
                <w:b/>
                <w:bCs/>
                <w:color w:val="00B050"/>
                <w:lang w:eastAsia="en-GB"/>
              </w:rPr>
              <w:t>11.05.2023</w:t>
            </w:r>
            <w:r w:rsidRPr="004E4667">
              <w:rPr>
                <w:rFonts w:ascii="Calibri" w:eastAsia="Times New Roman" w:hAnsi="Calibri" w:cs="Calibri"/>
                <w:color w:val="00B050"/>
                <w:lang w:eastAsia="en-GB"/>
              </w:rPr>
              <w:t xml:space="preserve"> </w:t>
            </w:r>
          </w:p>
        </w:tc>
      </w:tr>
      <w:tr w:rsidR="004E4667" w:rsidRPr="004E4667" w14:paraId="6E2AE17B" w14:textId="77777777" w:rsidTr="00104D57">
        <w:trPr>
          <w:trHeight w:val="600"/>
        </w:trPr>
        <w:tc>
          <w:tcPr>
            <w:tcW w:w="1589" w:type="dxa"/>
            <w:hideMark/>
          </w:tcPr>
          <w:p w14:paraId="5A0EB7C3" w14:textId="1E346D76" w:rsidR="004E4667" w:rsidRPr="004E4667" w:rsidRDefault="004E4667" w:rsidP="00D73374">
            <w:pPr>
              <w:spacing w:line="276" w:lineRule="auto"/>
              <w:rPr>
                <w:rFonts w:ascii="Calibri" w:eastAsia="Times New Roman" w:hAnsi="Calibri" w:cs="Calibri"/>
                <w:lang w:eastAsia="en-GB"/>
              </w:rPr>
            </w:pPr>
            <w:proofErr w:type="spellStart"/>
            <w:r w:rsidRPr="004E4667">
              <w:rPr>
                <w:rFonts w:ascii="Calibri" w:eastAsia="Times New Roman" w:hAnsi="Calibri" w:cs="Calibri"/>
                <w:lang w:eastAsia="en-GB"/>
              </w:rPr>
              <w:t>ossington</w:t>
            </w:r>
            <w:proofErr w:type="spellEnd"/>
            <w:r w:rsidRPr="004E4667">
              <w:rPr>
                <w:rFonts w:ascii="Calibri" w:eastAsia="Times New Roman" w:hAnsi="Calibri" w:cs="Calibri"/>
                <w:lang w:eastAsia="en-GB"/>
              </w:rPr>
              <w:t xml:space="preserve"> Quarry Great North Rd, Rossington</w:t>
            </w:r>
          </w:p>
        </w:tc>
        <w:tc>
          <w:tcPr>
            <w:tcW w:w="2021" w:type="dxa"/>
            <w:hideMark/>
          </w:tcPr>
          <w:p w14:paraId="01AC884A" w14:textId="77777777" w:rsidR="004E4667" w:rsidRPr="004E4667" w:rsidRDefault="004E4667" w:rsidP="00D73374">
            <w:pPr>
              <w:spacing w:line="276" w:lineRule="auto"/>
              <w:rPr>
                <w:rFonts w:ascii="Calibri" w:eastAsia="Times New Roman" w:hAnsi="Calibri" w:cs="Calibri"/>
                <w:lang w:eastAsia="en-GB"/>
              </w:rPr>
            </w:pPr>
            <w:r w:rsidRPr="004E4667">
              <w:rPr>
                <w:rFonts w:ascii="Calibri" w:eastAsia="Times New Roman" w:hAnsi="Calibri" w:cs="Calibri"/>
                <w:lang w:eastAsia="en-GB"/>
              </w:rPr>
              <w:t>Robinson And Rowley Ltd</w:t>
            </w:r>
          </w:p>
        </w:tc>
        <w:tc>
          <w:tcPr>
            <w:tcW w:w="1553" w:type="dxa"/>
            <w:hideMark/>
          </w:tcPr>
          <w:p w14:paraId="52F52732" w14:textId="77777777" w:rsidR="004E4667" w:rsidRPr="004E4667" w:rsidRDefault="004E4667" w:rsidP="00D73374">
            <w:pPr>
              <w:spacing w:line="276" w:lineRule="auto"/>
              <w:rPr>
                <w:rFonts w:ascii="Calibri" w:eastAsia="Times New Roman" w:hAnsi="Calibri" w:cs="Calibri"/>
                <w:lang w:eastAsia="en-GB"/>
              </w:rPr>
            </w:pPr>
            <w:r w:rsidRPr="004E4667">
              <w:rPr>
                <w:rFonts w:ascii="Calibri" w:eastAsia="Times New Roman" w:hAnsi="Calibri" w:cs="Calibri"/>
                <w:lang w:eastAsia="en-GB"/>
              </w:rPr>
              <w:t>21/02493/MIN</w:t>
            </w:r>
          </w:p>
        </w:tc>
        <w:tc>
          <w:tcPr>
            <w:tcW w:w="2372" w:type="dxa"/>
            <w:hideMark/>
          </w:tcPr>
          <w:p w14:paraId="21ED785E" w14:textId="77777777" w:rsidR="004E4667" w:rsidRPr="004E4667" w:rsidRDefault="004E4667" w:rsidP="00D73374">
            <w:pPr>
              <w:spacing w:line="276" w:lineRule="auto"/>
              <w:rPr>
                <w:rFonts w:ascii="Calibri" w:eastAsia="Times New Roman" w:hAnsi="Calibri" w:cs="Calibri"/>
                <w:lang w:eastAsia="en-GB"/>
              </w:rPr>
            </w:pPr>
            <w:r w:rsidRPr="004E4667">
              <w:rPr>
                <w:rFonts w:ascii="Calibri" w:eastAsia="Times New Roman" w:hAnsi="Calibri" w:cs="Calibri"/>
                <w:lang w:eastAsia="en-GB"/>
              </w:rPr>
              <w:t>Formation of new access to Bawtry Road for extraction of grit, sand and gravel - DRAFT</w:t>
            </w:r>
          </w:p>
        </w:tc>
        <w:tc>
          <w:tcPr>
            <w:tcW w:w="1481" w:type="dxa"/>
            <w:hideMark/>
          </w:tcPr>
          <w:p w14:paraId="2E2F7867" w14:textId="77777777" w:rsidR="004E4667" w:rsidRPr="004E4667" w:rsidRDefault="004E4667" w:rsidP="00D73374">
            <w:pPr>
              <w:spacing w:line="276" w:lineRule="auto"/>
              <w:rPr>
                <w:rFonts w:ascii="Calibri" w:eastAsia="Times New Roman" w:hAnsi="Calibri" w:cs="Calibri"/>
                <w:color w:val="00B050"/>
                <w:lang w:eastAsia="en-GB"/>
              </w:rPr>
            </w:pPr>
            <w:r w:rsidRPr="004E4667">
              <w:rPr>
                <w:rFonts w:ascii="Calibri" w:eastAsia="Times New Roman" w:hAnsi="Calibri" w:cs="Calibri"/>
                <w:color w:val="00B050"/>
                <w:lang w:eastAsia="en-GB"/>
              </w:rPr>
              <w:t xml:space="preserve">Approved </w:t>
            </w:r>
            <w:r w:rsidRPr="004E4667">
              <w:rPr>
                <w:rFonts w:ascii="Calibri" w:eastAsia="Times New Roman" w:hAnsi="Calibri" w:cs="Calibri"/>
                <w:b/>
                <w:bCs/>
                <w:color w:val="00B050"/>
                <w:lang w:eastAsia="en-GB"/>
              </w:rPr>
              <w:t>10.03.2023</w:t>
            </w:r>
            <w:r w:rsidRPr="004E4667">
              <w:rPr>
                <w:rFonts w:ascii="Calibri" w:eastAsia="Times New Roman" w:hAnsi="Calibri" w:cs="Calibri"/>
                <w:color w:val="00B050"/>
                <w:lang w:eastAsia="en-GB"/>
              </w:rPr>
              <w:t xml:space="preserve"> (400,000 tonnes sand with 60% sharp sand /gravel)</w:t>
            </w:r>
          </w:p>
        </w:tc>
      </w:tr>
    </w:tbl>
    <w:p w14:paraId="77D91CCD" w14:textId="17FB8E5B" w:rsidR="00107841" w:rsidRPr="00216495" w:rsidRDefault="00107841" w:rsidP="00D73374">
      <w:pPr>
        <w:pStyle w:val="Sub-heading"/>
        <w:spacing w:before="240" w:after="240" w:line="276" w:lineRule="auto"/>
        <w:jc w:val="left"/>
        <w:outlineLvl w:val="1"/>
        <w:rPr>
          <w:color w:val="auto"/>
          <w:sz w:val="24"/>
          <w:szCs w:val="24"/>
        </w:rPr>
      </w:pPr>
      <w:bookmarkStart w:id="28" w:name="_Toc198549803"/>
      <w:r w:rsidRPr="00216495">
        <w:rPr>
          <w:color w:val="auto"/>
          <w:sz w:val="24"/>
          <w:szCs w:val="24"/>
        </w:rPr>
        <w:t>Wharves and Rail Ports</w:t>
      </w:r>
      <w:bookmarkEnd w:id="28"/>
    </w:p>
    <w:p w14:paraId="5F32E533" w14:textId="77777777" w:rsidR="00107841" w:rsidRDefault="00107841" w:rsidP="00D73374">
      <w:pPr>
        <w:numPr>
          <w:ilvl w:val="0"/>
          <w:numId w:val="3"/>
        </w:numPr>
        <w:spacing w:before="240" w:after="200" w:line="276" w:lineRule="auto"/>
        <w:ind w:left="426"/>
        <w:rPr>
          <w:rFonts w:ascii="Arial" w:eastAsia="Times New Roman" w:hAnsi="Arial" w:cs="Arial"/>
        </w:rPr>
      </w:pPr>
      <w:r>
        <w:rPr>
          <w:rFonts w:ascii="Arial" w:eastAsia="Times New Roman" w:hAnsi="Arial" w:cs="Arial"/>
        </w:rPr>
        <w:t>There are no wharves or rail ports associated with sand and gravel production in Doncaster</w:t>
      </w:r>
    </w:p>
    <w:p w14:paraId="3E8FB1C4" w14:textId="77777777" w:rsidR="00107841" w:rsidRPr="00216495" w:rsidRDefault="007F4305" w:rsidP="00D73374">
      <w:pPr>
        <w:pStyle w:val="Sub-heading"/>
        <w:spacing w:before="240" w:after="240" w:line="276" w:lineRule="auto"/>
        <w:jc w:val="left"/>
        <w:outlineLvl w:val="1"/>
        <w:rPr>
          <w:color w:val="auto"/>
          <w:sz w:val="24"/>
          <w:szCs w:val="24"/>
        </w:rPr>
      </w:pPr>
      <w:bookmarkStart w:id="29" w:name="_Toc198549804"/>
      <w:r w:rsidRPr="00216495">
        <w:rPr>
          <w:color w:val="auto"/>
          <w:sz w:val="24"/>
          <w:szCs w:val="24"/>
        </w:rPr>
        <w:t>Crushed Rock (Limestone Aggregate)</w:t>
      </w:r>
      <w:bookmarkEnd w:id="29"/>
    </w:p>
    <w:p w14:paraId="29A376AF" w14:textId="4FB6C41E" w:rsidR="007F4305" w:rsidRPr="005D0979" w:rsidRDefault="007F4305" w:rsidP="00D73374">
      <w:pPr>
        <w:numPr>
          <w:ilvl w:val="0"/>
          <w:numId w:val="3"/>
        </w:numPr>
        <w:spacing w:before="240" w:after="200" w:line="276" w:lineRule="auto"/>
        <w:ind w:left="426"/>
        <w:rPr>
          <w:rFonts w:ascii="Arial" w:eastAsia="Times New Roman" w:hAnsi="Arial" w:cs="Arial"/>
        </w:rPr>
      </w:pPr>
      <w:r w:rsidRPr="007F4305">
        <w:rPr>
          <w:rFonts w:ascii="Arial" w:eastAsia="Times New Roman" w:hAnsi="Arial" w:cs="Arial"/>
        </w:rPr>
        <w:t xml:space="preserve">Magnesian Limestone (Dolomite) is the only aggregate rock type sourced and worked in the Doncaster and Rotherham area. </w:t>
      </w:r>
      <w:r w:rsidR="0043075E">
        <w:rPr>
          <w:rFonts w:ascii="Arial" w:eastAsia="Times New Roman" w:hAnsi="Arial" w:cs="Arial"/>
        </w:rPr>
        <w:t xml:space="preserve">Table </w:t>
      </w:r>
      <w:r w:rsidR="00264F3B">
        <w:rPr>
          <w:rFonts w:ascii="Arial" w:eastAsia="Times New Roman" w:hAnsi="Arial" w:cs="Arial"/>
        </w:rPr>
        <w:t>6</w:t>
      </w:r>
      <w:r>
        <w:rPr>
          <w:rFonts w:ascii="Arial" w:eastAsia="Times New Roman" w:hAnsi="Arial" w:cs="Arial"/>
        </w:rPr>
        <w:t xml:space="preserve"> below shows the crushed r</w:t>
      </w:r>
      <w:r w:rsidR="00AA3D8B">
        <w:rPr>
          <w:rFonts w:ascii="Arial" w:eastAsia="Times New Roman" w:hAnsi="Arial" w:cs="Arial"/>
        </w:rPr>
        <w:t>ock aggregate sales between 201</w:t>
      </w:r>
      <w:r w:rsidR="006D35DA">
        <w:rPr>
          <w:rFonts w:ascii="Arial" w:eastAsia="Times New Roman" w:hAnsi="Arial" w:cs="Arial"/>
        </w:rPr>
        <w:t>3</w:t>
      </w:r>
      <w:r w:rsidR="00AA3D8B">
        <w:rPr>
          <w:rFonts w:ascii="Arial" w:eastAsia="Times New Roman" w:hAnsi="Arial" w:cs="Arial"/>
        </w:rPr>
        <w:t xml:space="preserve"> and </w:t>
      </w:r>
      <w:r w:rsidR="000A6367">
        <w:rPr>
          <w:rFonts w:ascii="Arial" w:eastAsia="Times New Roman" w:hAnsi="Arial" w:cs="Arial"/>
        </w:rPr>
        <w:t>202</w:t>
      </w:r>
      <w:r w:rsidR="006D35DA">
        <w:rPr>
          <w:rFonts w:ascii="Arial" w:eastAsia="Times New Roman" w:hAnsi="Arial" w:cs="Arial"/>
        </w:rPr>
        <w:t>3</w:t>
      </w:r>
      <w:r w:rsidR="00276C70">
        <w:rPr>
          <w:rFonts w:ascii="Arial" w:eastAsia="Times New Roman" w:hAnsi="Arial" w:cs="Arial"/>
        </w:rPr>
        <w:t>.</w:t>
      </w:r>
    </w:p>
    <w:p w14:paraId="7F0CE02D" w14:textId="16C28BD4" w:rsidR="007F4305" w:rsidRPr="007F4305" w:rsidRDefault="007F4305" w:rsidP="00D73374">
      <w:pPr>
        <w:pStyle w:val="Sub-heading"/>
        <w:spacing w:line="276" w:lineRule="auto"/>
        <w:jc w:val="left"/>
        <w:outlineLvl w:val="1"/>
        <w:rPr>
          <w:color w:val="auto"/>
          <w:sz w:val="22"/>
          <w:szCs w:val="22"/>
        </w:rPr>
      </w:pPr>
      <w:bookmarkStart w:id="30" w:name="_Toc473105750"/>
      <w:bookmarkStart w:id="31" w:name="_Toc500147124"/>
      <w:bookmarkStart w:id="32" w:name="_Toc522792098"/>
      <w:bookmarkStart w:id="33" w:name="_Toc198549805"/>
      <w:r w:rsidRPr="00DA7806">
        <w:rPr>
          <w:color w:val="auto"/>
          <w:sz w:val="22"/>
          <w:szCs w:val="22"/>
        </w:rPr>
        <w:t xml:space="preserve">Table </w:t>
      </w:r>
      <w:r w:rsidR="00264F3B" w:rsidRPr="00DA7806">
        <w:rPr>
          <w:color w:val="auto"/>
          <w:sz w:val="22"/>
          <w:szCs w:val="22"/>
        </w:rPr>
        <w:t>6</w:t>
      </w:r>
      <w:r w:rsidR="006277C1" w:rsidRPr="00DA7806">
        <w:rPr>
          <w:color w:val="auto"/>
          <w:sz w:val="22"/>
          <w:szCs w:val="22"/>
        </w:rPr>
        <w:t>.</w:t>
      </w:r>
      <w:r w:rsidRPr="00DA7806">
        <w:rPr>
          <w:color w:val="auto"/>
          <w:sz w:val="22"/>
          <w:szCs w:val="22"/>
        </w:rPr>
        <w:t xml:space="preserve"> Crushed Rock Aggre</w:t>
      </w:r>
      <w:r w:rsidR="00433091" w:rsidRPr="00DA7806">
        <w:rPr>
          <w:color w:val="auto"/>
          <w:sz w:val="22"/>
          <w:szCs w:val="22"/>
        </w:rPr>
        <w:t>gate Sa</w:t>
      </w:r>
      <w:r w:rsidR="00F15DB5" w:rsidRPr="00DA7806">
        <w:rPr>
          <w:color w:val="auto"/>
          <w:sz w:val="22"/>
          <w:szCs w:val="22"/>
        </w:rPr>
        <w:t>les 201</w:t>
      </w:r>
      <w:r w:rsidR="006D35DA" w:rsidRPr="00DA7806">
        <w:rPr>
          <w:color w:val="auto"/>
          <w:sz w:val="22"/>
          <w:szCs w:val="22"/>
        </w:rPr>
        <w:t>3</w:t>
      </w:r>
      <w:r w:rsidR="00F11194" w:rsidRPr="00DA7806">
        <w:rPr>
          <w:color w:val="auto"/>
          <w:sz w:val="22"/>
          <w:szCs w:val="22"/>
        </w:rPr>
        <w:t xml:space="preserve"> to </w:t>
      </w:r>
      <w:r w:rsidR="000A6367" w:rsidRPr="00DA7806">
        <w:rPr>
          <w:color w:val="auto"/>
          <w:sz w:val="22"/>
          <w:szCs w:val="22"/>
        </w:rPr>
        <w:t>202</w:t>
      </w:r>
      <w:r w:rsidR="006D35DA" w:rsidRPr="00DA7806">
        <w:rPr>
          <w:color w:val="auto"/>
          <w:sz w:val="22"/>
          <w:szCs w:val="22"/>
        </w:rPr>
        <w:t>3</w:t>
      </w:r>
      <w:r w:rsidRPr="00DA7806">
        <w:rPr>
          <w:color w:val="auto"/>
          <w:sz w:val="22"/>
          <w:szCs w:val="22"/>
        </w:rPr>
        <w:t xml:space="preserve"> (Mt)</w:t>
      </w:r>
      <w:bookmarkEnd w:id="30"/>
      <w:bookmarkEnd w:id="31"/>
      <w:bookmarkEnd w:id="32"/>
      <w:bookmarkEnd w:id="33"/>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rushed Rock Aggregate Sales in millions of tonnes"/>
        <w:tblDescription w:val="Crushed Rock Aggregate Sales in millions of tonnes"/>
      </w:tblPr>
      <w:tblGrid>
        <w:gridCol w:w="1562"/>
        <w:gridCol w:w="661"/>
        <w:gridCol w:w="734"/>
        <w:gridCol w:w="661"/>
        <w:gridCol w:w="661"/>
        <w:gridCol w:w="661"/>
        <w:gridCol w:w="661"/>
        <w:gridCol w:w="735"/>
        <w:gridCol w:w="661"/>
        <w:gridCol w:w="661"/>
        <w:gridCol w:w="661"/>
        <w:gridCol w:w="661"/>
      </w:tblGrid>
      <w:tr w:rsidR="006D35DA" w:rsidRPr="00276C70" w14:paraId="70FCA7B2" w14:textId="77777777" w:rsidTr="001314BE">
        <w:trPr>
          <w:jc w:val="center"/>
        </w:trPr>
        <w:tc>
          <w:tcPr>
            <w:tcW w:w="870" w:type="pct"/>
            <w:shd w:val="clear" w:color="auto" w:fill="F2F2F2" w:themeFill="background1" w:themeFillShade="F2"/>
            <w:vAlign w:val="center"/>
          </w:tcPr>
          <w:p w14:paraId="2C011EED" w14:textId="77777777" w:rsidR="006D35DA" w:rsidRPr="00276C70" w:rsidRDefault="006D35DA" w:rsidP="00D73374">
            <w:pPr>
              <w:spacing w:line="276" w:lineRule="auto"/>
              <w:jc w:val="center"/>
              <w:rPr>
                <w:rFonts w:ascii="Arial" w:hAnsi="Arial" w:cs="Arial"/>
                <w:b/>
                <w:sz w:val="20"/>
                <w:szCs w:val="20"/>
              </w:rPr>
            </w:pPr>
          </w:p>
        </w:tc>
        <w:tc>
          <w:tcPr>
            <w:tcW w:w="368" w:type="pct"/>
            <w:shd w:val="clear" w:color="auto" w:fill="F2F2F2" w:themeFill="background1" w:themeFillShade="F2"/>
          </w:tcPr>
          <w:p w14:paraId="457335EF" w14:textId="13CC830A" w:rsidR="006D35DA" w:rsidRPr="00276C70" w:rsidRDefault="006D35DA" w:rsidP="00D73374">
            <w:pPr>
              <w:spacing w:line="276" w:lineRule="auto"/>
              <w:jc w:val="center"/>
              <w:rPr>
                <w:rFonts w:ascii="Arial" w:hAnsi="Arial" w:cs="Arial"/>
                <w:b/>
                <w:sz w:val="20"/>
                <w:szCs w:val="20"/>
              </w:rPr>
            </w:pPr>
            <w:r w:rsidRPr="00276C70">
              <w:rPr>
                <w:rFonts w:ascii="Arial" w:hAnsi="Arial" w:cs="Arial"/>
                <w:b/>
                <w:sz w:val="20"/>
                <w:szCs w:val="20"/>
              </w:rPr>
              <w:t>2013</w:t>
            </w:r>
          </w:p>
        </w:tc>
        <w:tc>
          <w:tcPr>
            <w:tcW w:w="409" w:type="pct"/>
            <w:shd w:val="clear" w:color="auto" w:fill="F2F2F2" w:themeFill="background1" w:themeFillShade="F2"/>
            <w:vAlign w:val="center"/>
          </w:tcPr>
          <w:p w14:paraId="6FE8E764" w14:textId="6464E66F" w:rsidR="006D35DA" w:rsidRPr="00276C70" w:rsidRDefault="006D35DA" w:rsidP="00D73374">
            <w:pPr>
              <w:spacing w:line="276" w:lineRule="auto"/>
              <w:jc w:val="center"/>
              <w:rPr>
                <w:rFonts w:ascii="Arial" w:hAnsi="Arial" w:cs="Arial"/>
                <w:b/>
                <w:sz w:val="20"/>
                <w:szCs w:val="20"/>
              </w:rPr>
            </w:pPr>
            <w:r w:rsidRPr="00276C70">
              <w:rPr>
                <w:rFonts w:ascii="Arial" w:hAnsi="Arial" w:cs="Arial"/>
                <w:b/>
                <w:sz w:val="20"/>
                <w:szCs w:val="20"/>
              </w:rPr>
              <w:t>2014</w:t>
            </w:r>
            <w:r w:rsidRPr="00276C70">
              <w:rPr>
                <w:rFonts w:ascii="Arial" w:hAnsi="Arial" w:cs="Arial"/>
                <w:b/>
                <w:sz w:val="20"/>
                <w:szCs w:val="20"/>
                <w:vertAlign w:val="superscript"/>
              </w:rPr>
              <w:footnoteReference w:id="9"/>
            </w:r>
          </w:p>
        </w:tc>
        <w:tc>
          <w:tcPr>
            <w:tcW w:w="368" w:type="pct"/>
            <w:shd w:val="clear" w:color="auto" w:fill="F2F2F2" w:themeFill="background1" w:themeFillShade="F2"/>
            <w:vAlign w:val="center"/>
          </w:tcPr>
          <w:p w14:paraId="5501D1CD" w14:textId="4048FE27" w:rsidR="006D35DA" w:rsidRPr="00276C70" w:rsidRDefault="006D35DA" w:rsidP="00D73374">
            <w:pPr>
              <w:spacing w:line="276" w:lineRule="auto"/>
              <w:jc w:val="center"/>
              <w:rPr>
                <w:rFonts w:ascii="Arial" w:hAnsi="Arial" w:cs="Arial"/>
                <w:b/>
                <w:sz w:val="20"/>
                <w:szCs w:val="20"/>
              </w:rPr>
            </w:pPr>
            <w:r w:rsidRPr="00276C70">
              <w:rPr>
                <w:rFonts w:ascii="Arial" w:hAnsi="Arial" w:cs="Arial"/>
                <w:b/>
                <w:sz w:val="20"/>
                <w:szCs w:val="20"/>
              </w:rPr>
              <w:t>2015</w:t>
            </w:r>
          </w:p>
        </w:tc>
        <w:tc>
          <w:tcPr>
            <w:tcW w:w="368" w:type="pct"/>
            <w:shd w:val="clear" w:color="auto" w:fill="F2F2F2" w:themeFill="background1" w:themeFillShade="F2"/>
            <w:vAlign w:val="center"/>
          </w:tcPr>
          <w:p w14:paraId="41DA83A8" w14:textId="4B4B0532" w:rsidR="006D35DA" w:rsidRPr="00276C70" w:rsidRDefault="006D35DA" w:rsidP="00D73374">
            <w:pPr>
              <w:spacing w:line="276" w:lineRule="auto"/>
              <w:jc w:val="center"/>
              <w:rPr>
                <w:rFonts w:ascii="Arial" w:hAnsi="Arial" w:cs="Arial"/>
                <w:b/>
                <w:sz w:val="20"/>
                <w:szCs w:val="20"/>
              </w:rPr>
            </w:pPr>
            <w:r w:rsidRPr="00276C70">
              <w:rPr>
                <w:rFonts w:ascii="Arial" w:hAnsi="Arial" w:cs="Arial"/>
                <w:b/>
                <w:sz w:val="20"/>
                <w:szCs w:val="20"/>
              </w:rPr>
              <w:t>2016</w:t>
            </w:r>
          </w:p>
        </w:tc>
        <w:tc>
          <w:tcPr>
            <w:tcW w:w="368" w:type="pct"/>
            <w:shd w:val="clear" w:color="auto" w:fill="F2F2F2" w:themeFill="background1" w:themeFillShade="F2"/>
            <w:vAlign w:val="center"/>
          </w:tcPr>
          <w:p w14:paraId="76F9AA3B" w14:textId="18131FA4" w:rsidR="006D35DA" w:rsidRPr="00276C70" w:rsidRDefault="006D35DA" w:rsidP="00D73374">
            <w:pPr>
              <w:spacing w:line="276" w:lineRule="auto"/>
              <w:jc w:val="center"/>
              <w:rPr>
                <w:rFonts w:ascii="Arial" w:hAnsi="Arial" w:cs="Arial"/>
                <w:b/>
                <w:sz w:val="20"/>
                <w:szCs w:val="20"/>
              </w:rPr>
            </w:pPr>
            <w:r w:rsidRPr="00276C70">
              <w:rPr>
                <w:rFonts w:ascii="Arial" w:hAnsi="Arial" w:cs="Arial"/>
                <w:b/>
                <w:sz w:val="20"/>
                <w:szCs w:val="20"/>
              </w:rPr>
              <w:t>2017</w:t>
            </w:r>
          </w:p>
        </w:tc>
        <w:tc>
          <w:tcPr>
            <w:tcW w:w="368" w:type="pct"/>
            <w:shd w:val="clear" w:color="auto" w:fill="F2F2F2" w:themeFill="background1" w:themeFillShade="F2"/>
            <w:vAlign w:val="center"/>
          </w:tcPr>
          <w:p w14:paraId="63049058" w14:textId="30B18D34" w:rsidR="006D35DA" w:rsidRPr="00276C70" w:rsidRDefault="006D35DA" w:rsidP="00D73374">
            <w:pPr>
              <w:spacing w:line="276" w:lineRule="auto"/>
              <w:jc w:val="center"/>
              <w:rPr>
                <w:rFonts w:ascii="Arial" w:hAnsi="Arial" w:cs="Arial"/>
                <w:b/>
                <w:sz w:val="20"/>
                <w:szCs w:val="20"/>
              </w:rPr>
            </w:pPr>
            <w:r w:rsidRPr="00276C70">
              <w:rPr>
                <w:rFonts w:ascii="Arial" w:hAnsi="Arial" w:cs="Arial"/>
                <w:b/>
                <w:sz w:val="20"/>
                <w:szCs w:val="20"/>
              </w:rPr>
              <w:t>2018</w:t>
            </w:r>
          </w:p>
        </w:tc>
        <w:tc>
          <w:tcPr>
            <w:tcW w:w="409" w:type="pct"/>
            <w:shd w:val="clear" w:color="auto" w:fill="F2F2F2" w:themeFill="background1" w:themeFillShade="F2"/>
            <w:vAlign w:val="center"/>
          </w:tcPr>
          <w:p w14:paraId="41226400" w14:textId="2682C754" w:rsidR="006D35DA" w:rsidRPr="00276C70" w:rsidRDefault="006D35DA" w:rsidP="00D73374">
            <w:pPr>
              <w:spacing w:line="276" w:lineRule="auto"/>
              <w:jc w:val="center"/>
              <w:rPr>
                <w:rFonts w:ascii="Arial" w:hAnsi="Arial" w:cs="Arial"/>
                <w:b/>
                <w:sz w:val="20"/>
                <w:szCs w:val="20"/>
              </w:rPr>
            </w:pPr>
            <w:r w:rsidRPr="00276C70">
              <w:rPr>
                <w:rFonts w:ascii="Arial" w:hAnsi="Arial" w:cs="Arial"/>
                <w:b/>
                <w:sz w:val="20"/>
                <w:szCs w:val="20"/>
              </w:rPr>
              <w:t>2019</w:t>
            </w:r>
            <w:r w:rsidRPr="00276C70">
              <w:rPr>
                <w:rStyle w:val="FootnoteReference"/>
                <w:rFonts w:ascii="Arial" w:hAnsi="Arial" w:cs="Arial"/>
                <w:b/>
                <w:sz w:val="20"/>
                <w:szCs w:val="20"/>
              </w:rPr>
              <w:footnoteReference w:id="10"/>
            </w:r>
          </w:p>
        </w:tc>
        <w:tc>
          <w:tcPr>
            <w:tcW w:w="368" w:type="pct"/>
            <w:shd w:val="clear" w:color="auto" w:fill="F2F2F2" w:themeFill="background1" w:themeFillShade="F2"/>
            <w:vAlign w:val="center"/>
          </w:tcPr>
          <w:p w14:paraId="5F631A48" w14:textId="798F0663" w:rsidR="006D35DA" w:rsidRPr="00276C70" w:rsidRDefault="006D35DA" w:rsidP="00D73374">
            <w:pPr>
              <w:spacing w:line="276" w:lineRule="auto"/>
              <w:jc w:val="center"/>
              <w:rPr>
                <w:rFonts w:ascii="Arial" w:hAnsi="Arial" w:cs="Arial"/>
                <w:b/>
                <w:sz w:val="20"/>
                <w:szCs w:val="20"/>
              </w:rPr>
            </w:pPr>
            <w:r w:rsidRPr="00276C70">
              <w:rPr>
                <w:rFonts w:ascii="Arial" w:hAnsi="Arial" w:cs="Arial"/>
                <w:b/>
                <w:sz w:val="20"/>
                <w:szCs w:val="20"/>
              </w:rPr>
              <w:t>2020</w:t>
            </w:r>
          </w:p>
        </w:tc>
        <w:tc>
          <w:tcPr>
            <w:tcW w:w="368" w:type="pct"/>
            <w:shd w:val="clear" w:color="auto" w:fill="F2F2F2" w:themeFill="background1" w:themeFillShade="F2"/>
          </w:tcPr>
          <w:p w14:paraId="77F42487" w14:textId="7EF4FBA0" w:rsidR="006D35DA" w:rsidRPr="00276C70" w:rsidRDefault="006D35DA" w:rsidP="00D73374">
            <w:pPr>
              <w:spacing w:line="276" w:lineRule="auto"/>
              <w:jc w:val="center"/>
              <w:rPr>
                <w:rFonts w:ascii="Arial" w:hAnsi="Arial" w:cs="Arial"/>
                <w:b/>
                <w:sz w:val="20"/>
                <w:szCs w:val="20"/>
              </w:rPr>
            </w:pPr>
            <w:r>
              <w:rPr>
                <w:rFonts w:ascii="Arial" w:hAnsi="Arial" w:cs="Arial"/>
                <w:b/>
                <w:sz w:val="20"/>
                <w:szCs w:val="20"/>
              </w:rPr>
              <w:t>2021</w:t>
            </w:r>
          </w:p>
        </w:tc>
        <w:tc>
          <w:tcPr>
            <w:tcW w:w="368" w:type="pct"/>
            <w:shd w:val="clear" w:color="auto" w:fill="F2F2F2" w:themeFill="background1" w:themeFillShade="F2"/>
          </w:tcPr>
          <w:p w14:paraId="6C2A5038" w14:textId="17661D0B" w:rsidR="006D35DA" w:rsidRPr="00276C70" w:rsidRDefault="006D35DA" w:rsidP="00D73374">
            <w:pPr>
              <w:spacing w:line="276" w:lineRule="auto"/>
              <w:jc w:val="center"/>
              <w:rPr>
                <w:rFonts w:ascii="Arial" w:hAnsi="Arial" w:cs="Arial"/>
                <w:b/>
                <w:sz w:val="20"/>
                <w:szCs w:val="20"/>
              </w:rPr>
            </w:pPr>
            <w:r>
              <w:rPr>
                <w:rFonts w:ascii="Arial" w:hAnsi="Arial" w:cs="Arial"/>
                <w:b/>
                <w:sz w:val="20"/>
                <w:szCs w:val="20"/>
              </w:rPr>
              <w:t>2022</w:t>
            </w:r>
          </w:p>
        </w:tc>
        <w:tc>
          <w:tcPr>
            <w:tcW w:w="368" w:type="pct"/>
            <w:shd w:val="clear" w:color="auto" w:fill="F2F2F2" w:themeFill="background1" w:themeFillShade="F2"/>
          </w:tcPr>
          <w:p w14:paraId="0546C223" w14:textId="6012D6B8" w:rsidR="006D35DA" w:rsidRPr="00276C70" w:rsidRDefault="006D35DA" w:rsidP="00D73374">
            <w:pPr>
              <w:spacing w:line="276" w:lineRule="auto"/>
              <w:jc w:val="center"/>
              <w:rPr>
                <w:rFonts w:ascii="Arial" w:hAnsi="Arial" w:cs="Arial"/>
                <w:b/>
                <w:sz w:val="20"/>
                <w:szCs w:val="20"/>
              </w:rPr>
            </w:pPr>
            <w:r>
              <w:rPr>
                <w:rFonts w:ascii="Arial" w:hAnsi="Arial" w:cs="Arial"/>
                <w:b/>
                <w:sz w:val="20"/>
                <w:szCs w:val="20"/>
              </w:rPr>
              <w:t>2023</w:t>
            </w:r>
          </w:p>
        </w:tc>
      </w:tr>
      <w:tr w:rsidR="006D35DA" w:rsidRPr="00276C70" w14:paraId="0972B9E0" w14:textId="77777777" w:rsidTr="001314BE">
        <w:trPr>
          <w:jc w:val="center"/>
        </w:trPr>
        <w:tc>
          <w:tcPr>
            <w:tcW w:w="870" w:type="pct"/>
            <w:vAlign w:val="center"/>
          </w:tcPr>
          <w:p w14:paraId="27BA5373" w14:textId="77777777" w:rsidR="006D35DA" w:rsidRPr="00276C70" w:rsidRDefault="006D35DA" w:rsidP="00D73374">
            <w:pPr>
              <w:spacing w:line="276" w:lineRule="auto"/>
              <w:jc w:val="center"/>
              <w:rPr>
                <w:rFonts w:ascii="Arial" w:hAnsi="Arial" w:cs="Arial"/>
                <w:b/>
                <w:sz w:val="20"/>
                <w:szCs w:val="20"/>
              </w:rPr>
            </w:pPr>
            <w:r w:rsidRPr="00276C70">
              <w:rPr>
                <w:rFonts w:ascii="Arial" w:hAnsi="Arial" w:cs="Arial"/>
                <w:b/>
                <w:sz w:val="20"/>
                <w:szCs w:val="20"/>
              </w:rPr>
              <w:t>Doncaster and Rotherham</w:t>
            </w:r>
          </w:p>
        </w:tc>
        <w:tc>
          <w:tcPr>
            <w:tcW w:w="368" w:type="pct"/>
            <w:vAlign w:val="center"/>
          </w:tcPr>
          <w:p w14:paraId="2892B3F8" w14:textId="4374E279" w:rsidR="006D35DA" w:rsidRPr="00276C70" w:rsidRDefault="006D35DA" w:rsidP="00D73374">
            <w:pPr>
              <w:spacing w:line="276" w:lineRule="auto"/>
              <w:jc w:val="center"/>
              <w:rPr>
                <w:rFonts w:ascii="Arial" w:hAnsi="Arial" w:cs="Arial"/>
                <w:sz w:val="20"/>
                <w:szCs w:val="20"/>
              </w:rPr>
            </w:pPr>
            <w:r w:rsidRPr="00276C70">
              <w:rPr>
                <w:rFonts w:ascii="Arial" w:hAnsi="Arial" w:cs="Arial"/>
                <w:sz w:val="20"/>
                <w:szCs w:val="20"/>
              </w:rPr>
              <w:t>1.2</w:t>
            </w:r>
          </w:p>
        </w:tc>
        <w:tc>
          <w:tcPr>
            <w:tcW w:w="409" w:type="pct"/>
            <w:vAlign w:val="center"/>
          </w:tcPr>
          <w:p w14:paraId="1F0F0C22" w14:textId="76210DA0" w:rsidR="006D35DA" w:rsidRPr="00276C70" w:rsidRDefault="006D35DA" w:rsidP="00D73374">
            <w:pPr>
              <w:spacing w:line="276" w:lineRule="auto"/>
              <w:jc w:val="center"/>
              <w:rPr>
                <w:rFonts w:ascii="Arial" w:hAnsi="Arial" w:cs="Arial"/>
                <w:sz w:val="20"/>
                <w:szCs w:val="20"/>
              </w:rPr>
            </w:pPr>
            <w:r w:rsidRPr="00276C70">
              <w:rPr>
                <w:rFonts w:ascii="Arial" w:hAnsi="Arial" w:cs="Arial"/>
                <w:sz w:val="20"/>
                <w:szCs w:val="20"/>
              </w:rPr>
              <w:t>2.1</w:t>
            </w:r>
          </w:p>
        </w:tc>
        <w:tc>
          <w:tcPr>
            <w:tcW w:w="368" w:type="pct"/>
            <w:vAlign w:val="center"/>
          </w:tcPr>
          <w:p w14:paraId="1F51426E" w14:textId="6D14B2E0" w:rsidR="006D35DA" w:rsidRPr="00276C70" w:rsidRDefault="006D35DA" w:rsidP="00D73374">
            <w:pPr>
              <w:spacing w:line="276" w:lineRule="auto"/>
              <w:jc w:val="center"/>
              <w:rPr>
                <w:rFonts w:ascii="Arial" w:hAnsi="Arial" w:cs="Arial"/>
                <w:sz w:val="20"/>
                <w:szCs w:val="20"/>
              </w:rPr>
            </w:pPr>
            <w:r w:rsidRPr="00276C70">
              <w:rPr>
                <w:rFonts w:ascii="Arial" w:hAnsi="Arial" w:cs="Arial"/>
                <w:sz w:val="20"/>
                <w:szCs w:val="20"/>
              </w:rPr>
              <w:t>2.4</w:t>
            </w:r>
          </w:p>
        </w:tc>
        <w:tc>
          <w:tcPr>
            <w:tcW w:w="368" w:type="pct"/>
            <w:vAlign w:val="center"/>
          </w:tcPr>
          <w:p w14:paraId="0B6E33C8" w14:textId="4E1F300A" w:rsidR="006D35DA" w:rsidRPr="00276C70" w:rsidRDefault="006D35DA" w:rsidP="00D73374">
            <w:pPr>
              <w:spacing w:line="276" w:lineRule="auto"/>
              <w:jc w:val="center"/>
              <w:rPr>
                <w:rFonts w:ascii="Arial" w:hAnsi="Arial" w:cs="Arial"/>
                <w:sz w:val="20"/>
                <w:szCs w:val="20"/>
              </w:rPr>
            </w:pPr>
            <w:r w:rsidRPr="00276C70">
              <w:rPr>
                <w:rFonts w:ascii="Arial" w:hAnsi="Arial" w:cs="Arial"/>
                <w:sz w:val="20"/>
                <w:szCs w:val="20"/>
              </w:rPr>
              <w:t>2.6</w:t>
            </w:r>
          </w:p>
        </w:tc>
        <w:tc>
          <w:tcPr>
            <w:tcW w:w="368" w:type="pct"/>
            <w:vAlign w:val="center"/>
          </w:tcPr>
          <w:p w14:paraId="1DC52D84" w14:textId="1D82C26E" w:rsidR="006D35DA" w:rsidRPr="00276C70" w:rsidRDefault="006D35DA" w:rsidP="00D73374">
            <w:pPr>
              <w:spacing w:line="276" w:lineRule="auto"/>
              <w:jc w:val="center"/>
              <w:rPr>
                <w:rFonts w:ascii="Arial" w:hAnsi="Arial" w:cs="Arial"/>
                <w:sz w:val="20"/>
                <w:szCs w:val="20"/>
              </w:rPr>
            </w:pPr>
            <w:r w:rsidRPr="00276C70">
              <w:rPr>
                <w:rFonts w:ascii="Arial" w:hAnsi="Arial" w:cs="Arial"/>
                <w:sz w:val="20"/>
                <w:szCs w:val="20"/>
              </w:rPr>
              <w:t>2.0</w:t>
            </w:r>
          </w:p>
        </w:tc>
        <w:tc>
          <w:tcPr>
            <w:tcW w:w="368" w:type="pct"/>
            <w:vAlign w:val="center"/>
          </w:tcPr>
          <w:p w14:paraId="306FDAB9" w14:textId="3C69C4C9" w:rsidR="006D35DA" w:rsidRPr="00276C70" w:rsidRDefault="006D35DA" w:rsidP="00D73374">
            <w:pPr>
              <w:spacing w:line="276" w:lineRule="auto"/>
              <w:jc w:val="center"/>
              <w:rPr>
                <w:rFonts w:ascii="Arial" w:hAnsi="Arial" w:cs="Arial"/>
                <w:sz w:val="20"/>
                <w:szCs w:val="20"/>
              </w:rPr>
            </w:pPr>
            <w:r w:rsidRPr="00276C70">
              <w:rPr>
                <w:rFonts w:ascii="Arial" w:hAnsi="Arial" w:cs="Arial"/>
                <w:sz w:val="20"/>
                <w:szCs w:val="20"/>
              </w:rPr>
              <w:t>2.4</w:t>
            </w:r>
          </w:p>
        </w:tc>
        <w:tc>
          <w:tcPr>
            <w:tcW w:w="409" w:type="pct"/>
            <w:vAlign w:val="center"/>
          </w:tcPr>
          <w:p w14:paraId="4E26C6C5" w14:textId="0A4C3F33" w:rsidR="006D35DA" w:rsidRPr="00276C70" w:rsidRDefault="00ED6BB4" w:rsidP="00D73374">
            <w:pPr>
              <w:spacing w:line="276" w:lineRule="auto"/>
              <w:jc w:val="center"/>
              <w:rPr>
                <w:rFonts w:ascii="Arial" w:hAnsi="Arial" w:cs="Arial"/>
                <w:sz w:val="20"/>
                <w:szCs w:val="20"/>
              </w:rPr>
            </w:pPr>
            <w:r>
              <w:rPr>
                <w:rFonts w:ascii="Arial" w:hAnsi="Arial" w:cs="Arial"/>
                <w:color w:val="FFC000" w:themeColor="accent4"/>
                <w:sz w:val="20"/>
                <w:szCs w:val="20"/>
              </w:rPr>
              <w:t>1.8</w:t>
            </w:r>
          </w:p>
        </w:tc>
        <w:tc>
          <w:tcPr>
            <w:tcW w:w="368" w:type="pct"/>
            <w:vAlign w:val="center"/>
          </w:tcPr>
          <w:p w14:paraId="40A44C0F" w14:textId="1BD73FE8" w:rsidR="006D35DA" w:rsidRPr="00276C70" w:rsidRDefault="006D35DA" w:rsidP="00D73374">
            <w:pPr>
              <w:spacing w:line="276" w:lineRule="auto"/>
              <w:jc w:val="center"/>
              <w:rPr>
                <w:rFonts w:ascii="Arial" w:hAnsi="Arial" w:cs="Arial"/>
                <w:sz w:val="20"/>
                <w:szCs w:val="20"/>
              </w:rPr>
            </w:pPr>
            <w:r w:rsidRPr="00276C70">
              <w:rPr>
                <w:rFonts w:ascii="Arial" w:hAnsi="Arial" w:cs="Arial"/>
                <w:sz w:val="20"/>
                <w:szCs w:val="20"/>
              </w:rPr>
              <w:t>2.4</w:t>
            </w:r>
          </w:p>
        </w:tc>
        <w:tc>
          <w:tcPr>
            <w:tcW w:w="368" w:type="pct"/>
          </w:tcPr>
          <w:p w14:paraId="2BBB64CD" w14:textId="77777777" w:rsidR="006D35DA" w:rsidRDefault="006D35DA" w:rsidP="00D73374">
            <w:pPr>
              <w:spacing w:line="276" w:lineRule="auto"/>
              <w:jc w:val="center"/>
              <w:rPr>
                <w:rFonts w:ascii="Arial" w:hAnsi="Arial" w:cs="Arial"/>
                <w:sz w:val="20"/>
                <w:szCs w:val="20"/>
              </w:rPr>
            </w:pPr>
          </w:p>
          <w:p w14:paraId="7A06A2C7" w14:textId="4F16C4D1" w:rsidR="006D35DA" w:rsidRPr="00276C70" w:rsidRDefault="006D35DA" w:rsidP="00D73374">
            <w:pPr>
              <w:spacing w:line="276" w:lineRule="auto"/>
              <w:jc w:val="center"/>
              <w:rPr>
                <w:rFonts w:ascii="Arial" w:hAnsi="Arial" w:cs="Arial"/>
                <w:sz w:val="20"/>
                <w:szCs w:val="20"/>
              </w:rPr>
            </w:pPr>
            <w:r>
              <w:rPr>
                <w:rFonts w:ascii="Arial" w:hAnsi="Arial" w:cs="Arial"/>
                <w:sz w:val="20"/>
                <w:szCs w:val="20"/>
              </w:rPr>
              <w:t xml:space="preserve">3.2 </w:t>
            </w:r>
          </w:p>
        </w:tc>
        <w:tc>
          <w:tcPr>
            <w:tcW w:w="368" w:type="pct"/>
          </w:tcPr>
          <w:p w14:paraId="3789768B" w14:textId="77777777" w:rsidR="006D35DA" w:rsidRDefault="006D35DA" w:rsidP="00D73374">
            <w:pPr>
              <w:spacing w:line="276" w:lineRule="auto"/>
              <w:jc w:val="center"/>
              <w:rPr>
                <w:rFonts w:ascii="Arial" w:hAnsi="Arial" w:cs="Arial"/>
                <w:b/>
                <w:sz w:val="20"/>
                <w:szCs w:val="20"/>
              </w:rPr>
            </w:pPr>
          </w:p>
          <w:p w14:paraId="6B9FA97F" w14:textId="2F958C90" w:rsidR="006D35DA" w:rsidRPr="00276C70" w:rsidRDefault="006D35DA" w:rsidP="00D73374">
            <w:pPr>
              <w:spacing w:line="276" w:lineRule="auto"/>
              <w:jc w:val="center"/>
              <w:rPr>
                <w:rFonts w:ascii="Arial" w:hAnsi="Arial" w:cs="Arial"/>
                <w:sz w:val="20"/>
                <w:szCs w:val="20"/>
              </w:rPr>
            </w:pPr>
            <w:r w:rsidRPr="00264F3B">
              <w:rPr>
                <w:rFonts w:ascii="Arial" w:hAnsi="Arial" w:cs="Arial"/>
                <w:bCs/>
                <w:sz w:val="20"/>
                <w:szCs w:val="20"/>
              </w:rPr>
              <w:t>2.7</w:t>
            </w:r>
          </w:p>
        </w:tc>
        <w:tc>
          <w:tcPr>
            <w:tcW w:w="368" w:type="pct"/>
            <w:vAlign w:val="center"/>
          </w:tcPr>
          <w:p w14:paraId="129140AF" w14:textId="4243511C" w:rsidR="006D35DA" w:rsidRPr="00276C70" w:rsidRDefault="00606B6B" w:rsidP="00D73374">
            <w:pPr>
              <w:spacing w:line="276" w:lineRule="auto"/>
              <w:jc w:val="center"/>
              <w:rPr>
                <w:rFonts w:ascii="Arial" w:hAnsi="Arial" w:cs="Arial"/>
                <w:sz w:val="20"/>
                <w:szCs w:val="20"/>
              </w:rPr>
            </w:pPr>
            <w:r>
              <w:rPr>
                <w:rFonts w:ascii="Arial" w:hAnsi="Arial" w:cs="Arial"/>
                <w:sz w:val="20"/>
                <w:szCs w:val="20"/>
              </w:rPr>
              <w:t>2.</w:t>
            </w:r>
            <w:r w:rsidR="00DD591F">
              <w:rPr>
                <w:rFonts w:ascii="Arial" w:hAnsi="Arial" w:cs="Arial"/>
                <w:sz w:val="20"/>
                <w:szCs w:val="20"/>
              </w:rPr>
              <w:t>7</w:t>
            </w:r>
          </w:p>
        </w:tc>
      </w:tr>
    </w:tbl>
    <w:p w14:paraId="11518E89" w14:textId="061CD05A" w:rsidR="00276C70" w:rsidRPr="00264F3B" w:rsidRDefault="00276C70" w:rsidP="00D73374">
      <w:pPr>
        <w:numPr>
          <w:ilvl w:val="0"/>
          <w:numId w:val="3"/>
        </w:numPr>
        <w:spacing w:before="240" w:after="200" w:line="276" w:lineRule="auto"/>
        <w:ind w:left="426"/>
        <w:rPr>
          <w:rFonts w:ascii="Arial" w:eastAsia="Times New Roman" w:hAnsi="Arial" w:cs="Arial"/>
        </w:rPr>
      </w:pPr>
      <w:bookmarkStart w:id="34" w:name="_Toc473105753"/>
      <w:bookmarkStart w:id="35" w:name="_Toc500147125"/>
      <w:bookmarkStart w:id="36" w:name="_Toc522792099"/>
      <w:r w:rsidRPr="00264F3B">
        <w:rPr>
          <w:rFonts w:ascii="Arial" w:eastAsia="Times New Roman" w:hAnsi="Arial" w:cs="Arial"/>
        </w:rPr>
        <w:t xml:space="preserve">Table </w:t>
      </w:r>
      <w:r w:rsidR="00264F3B" w:rsidRPr="00264F3B">
        <w:rPr>
          <w:rFonts w:ascii="Arial" w:eastAsia="Times New Roman" w:hAnsi="Arial" w:cs="Arial"/>
        </w:rPr>
        <w:t>7</w:t>
      </w:r>
      <w:r w:rsidRPr="00264F3B">
        <w:rPr>
          <w:rFonts w:ascii="Arial" w:eastAsia="Times New Roman" w:hAnsi="Arial" w:cs="Arial"/>
        </w:rPr>
        <w:t xml:space="preserve"> below shows l</w:t>
      </w:r>
      <w:r w:rsidR="00D506A3" w:rsidRPr="00264F3B">
        <w:rPr>
          <w:rFonts w:ascii="Arial" w:eastAsia="Times New Roman" w:hAnsi="Arial" w:cs="Arial"/>
        </w:rPr>
        <w:t>andbank levels over the last eleven</w:t>
      </w:r>
      <w:r w:rsidRPr="00264F3B">
        <w:rPr>
          <w:rFonts w:ascii="Arial" w:eastAsia="Times New Roman" w:hAnsi="Arial" w:cs="Arial"/>
        </w:rPr>
        <w:t xml:space="preserve"> years. </w:t>
      </w:r>
      <w:r w:rsidR="00631DFE" w:rsidRPr="00264F3B">
        <w:rPr>
          <w:rFonts w:ascii="Arial" w:eastAsia="Times New Roman" w:hAnsi="Arial" w:cs="Arial"/>
        </w:rPr>
        <w:t xml:space="preserve">The 2019 data has not </w:t>
      </w:r>
      <w:r w:rsidR="00631DFE" w:rsidRPr="00DA7806">
        <w:rPr>
          <w:rFonts w:ascii="Arial" w:eastAsia="Times New Roman" w:hAnsi="Arial" w:cs="Arial"/>
        </w:rPr>
        <w:t>been used to calculate</w:t>
      </w:r>
      <w:r w:rsidR="00AA3D8B" w:rsidRPr="00DA7806">
        <w:rPr>
          <w:rFonts w:ascii="Arial" w:eastAsia="Times New Roman" w:hAnsi="Arial" w:cs="Arial"/>
        </w:rPr>
        <w:t xml:space="preserve"> the landbank for </w:t>
      </w:r>
      <w:r w:rsidR="000A6367" w:rsidRPr="00DA7806">
        <w:rPr>
          <w:rFonts w:ascii="Arial" w:eastAsia="Times New Roman" w:hAnsi="Arial" w:cs="Arial"/>
        </w:rPr>
        <w:t>202</w:t>
      </w:r>
      <w:r w:rsidR="00DA7806" w:rsidRPr="00DA7806">
        <w:rPr>
          <w:rFonts w:ascii="Arial" w:eastAsia="Times New Roman" w:hAnsi="Arial" w:cs="Arial"/>
        </w:rPr>
        <w:t>3</w:t>
      </w:r>
      <w:r w:rsidR="00F93B52" w:rsidRPr="00DA7806">
        <w:rPr>
          <w:rFonts w:ascii="Arial" w:eastAsia="Times New Roman" w:hAnsi="Arial" w:cs="Arial"/>
        </w:rPr>
        <w:t xml:space="preserve"> due to</w:t>
      </w:r>
      <w:r w:rsidR="00631DFE" w:rsidRPr="00DA7806">
        <w:rPr>
          <w:rFonts w:ascii="Arial" w:eastAsia="Times New Roman" w:hAnsi="Arial" w:cs="Arial"/>
        </w:rPr>
        <w:t xml:space="preserve"> limited monitoring data rec</w:t>
      </w:r>
      <w:r w:rsidR="00F93B52" w:rsidRPr="00DA7806">
        <w:rPr>
          <w:rFonts w:ascii="Arial" w:eastAsia="Times New Roman" w:hAnsi="Arial" w:cs="Arial"/>
        </w:rPr>
        <w:t>eived</w:t>
      </w:r>
      <w:r w:rsidR="00F93B52" w:rsidRPr="00264F3B">
        <w:rPr>
          <w:rFonts w:ascii="Arial" w:eastAsia="Times New Roman" w:hAnsi="Arial" w:cs="Arial"/>
        </w:rPr>
        <w:t xml:space="preserve"> during</w:t>
      </w:r>
      <w:r w:rsidR="0043075E" w:rsidRPr="00264F3B">
        <w:rPr>
          <w:rFonts w:ascii="Arial" w:eastAsia="Times New Roman" w:hAnsi="Arial" w:cs="Arial"/>
        </w:rPr>
        <w:t xml:space="preserve"> the pandemic. </w:t>
      </w:r>
      <w:r w:rsidRPr="00264F3B">
        <w:rPr>
          <w:rFonts w:ascii="Arial" w:eastAsia="Times New Roman" w:hAnsi="Arial" w:cs="Arial"/>
        </w:rPr>
        <w:t>The landbank</w:t>
      </w:r>
      <w:r w:rsidRPr="00264F3B">
        <w:rPr>
          <w:rFonts w:ascii="Arial" w:eastAsia="Times New Roman" w:hAnsi="Arial" w:cs="Arial"/>
          <w:vertAlign w:val="superscript"/>
        </w:rPr>
        <w:footnoteReference w:id="11"/>
      </w:r>
      <w:r w:rsidRPr="00264F3B">
        <w:rPr>
          <w:rFonts w:ascii="Arial" w:eastAsia="Times New Roman" w:hAnsi="Arial" w:cs="Arial"/>
        </w:rPr>
        <w:t xml:space="preserve"> is shown based on ten</w:t>
      </w:r>
      <w:r w:rsidR="00264F3B" w:rsidRPr="00264F3B">
        <w:rPr>
          <w:rFonts w:ascii="Arial" w:eastAsia="Times New Roman" w:hAnsi="Arial" w:cs="Arial"/>
        </w:rPr>
        <w:t>-</w:t>
      </w:r>
      <w:r w:rsidRPr="00264F3B">
        <w:rPr>
          <w:rFonts w:ascii="Arial" w:eastAsia="Times New Roman" w:hAnsi="Arial" w:cs="Arial"/>
        </w:rPr>
        <w:t>year average sales, three</w:t>
      </w:r>
      <w:r w:rsidR="00264F3B" w:rsidRPr="00264F3B">
        <w:rPr>
          <w:rFonts w:ascii="Arial" w:eastAsia="Times New Roman" w:hAnsi="Arial" w:cs="Arial"/>
        </w:rPr>
        <w:t>-</w:t>
      </w:r>
      <w:r w:rsidRPr="00264F3B">
        <w:rPr>
          <w:rFonts w:ascii="Arial" w:eastAsia="Times New Roman" w:hAnsi="Arial" w:cs="Arial"/>
        </w:rPr>
        <w:t xml:space="preserve">year average sales (to identify short term fluctuations in supply) and the fixed annual provision identified in the adopted Doncaster Local Plan. In all </w:t>
      </w:r>
      <w:r w:rsidR="00CC3B6E" w:rsidRPr="00264F3B">
        <w:rPr>
          <w:rFonts w:ascii="Arial" w:eastAsia="Times New Roman" w:hAnsi="Arial" w:cs="Arial"/>
        </w:rPr>
        <w:t>scenarios,</w:t>
      </w:r>
      <w:r w:rsidRPr="00264F3B">
        <w:rPr>
          <w:rFonts w:ascii="Arial" w:eastAsia="Times New Roman" w:hAnsi="Arial" w:cs="Arial"/>
        </w:rPr>
        <w:t xml:space="preserve"> the landbank</w:t>
      </w:r>
      <w:r w:rsidR="00AA3D8B" w:rsidRPr="00264F3B">
        <w:rPr>
          <w:rFonts w:ascii="Arial" w:eastAsia="Times New Roman" w:hAnsi="Arial" w:cs="Arial"/>
        </w:rPr>
        <w:t xml:space="preserve"> for </w:t>
      </w:r>
      <w:r w:rsidR="000A6367">
        <w:rPr>
          <w:rFonts w:ascii="Arial" w:eastAsia="Times New Roman" w:hAnsi="Arial" w:cs="Arial"/>
        </w:rPr>
        <w:t>202</w:t>
      </w:r>
      <w:r w:rsidR="00F16AB8">
        <w:rPr>
          <w:rFonts w:ascii="Arial" w:eastAsia="Times New Roman" w:hAnsi="Arial" w:cs="Arial"/>
        </w:rPr>
        <w:t>3</w:t>
      </w:r>
      <w:r w:rsidRPr="00264F3B">
        <w:rPr>
          <w:rFonts w:ascii="Arial" w:eastAsia="Times New Roman" w:hAnsi="Arial" w:cs="Arial"/>
        </w:rPr>
        <w:t xml:space="preserve"> is well above ten years as </w:t>
      </w:r>
      <w:r w:rsidR="0043075E" w:rsidRPr="00264F3B">
        <w:rPr>
          <w:rFonts w:ascii="Arial" w:eastAsia="Times New Roman" w:hAnsi="Arial" w:cs="Arial"/>
        </w:rPr>
        <w:t>required by</w:t>
      </w:r>
      <w:r w:rsidRPr="00264F3B">
        <w:rPr>
          <w:rFonts w:ascii="Arial" w:eastAsia="Times New Roman" w:hAnsi="Arial" w:cs="Arial"/>
        </w:rPr>
        <w:t xml:space="preserve"> national policy</w:t>
      </w:r>
      <w:r w:rsidR="009743BD">
        <w:rPr>
          <w:rFonts w:ascii="Arial" w:eastAsia="Times New Roman" w:hAnsi="Arial" w:cs="Arial"/>
        </w:rPr>
        <w:t xml:space="preserve">. </w:t>
      </w:r>
      <w:r w:rsidR="00997494">
        <w:rPr>
          <w:rFonts w:ascii="Arial" w:eastAsia="Times New Roman" w:hAnsi="Arial" w:cs="Arial"/>
        </w:rPr>
        <w:t xml:space="preserve">The </w:t>
      </w:r>
      <w:r w:rsidR="009743BD">
        <w:rPr>
          <w:rFonts w:ascii="Arial" w:eastAsia="Times New Roman" w:hAnsi="Arial" w:cs="Arial"/>
        </w:rPr>
        <w:t>Holme Hall Quarry</w:t>
      </w:r>
      <w:r w:rsidR="00997494">
        <w:rPr>
          <w:rFonts w:ascii="Arial" w:eastAsia="Times New Roman" w:hAnsi="Arial" w:cs="Arial"/>
        </w:rPr>
        <w:t xml:space="preserve"> extension </w:t>
      </w:r>
      <w:r w:rsidR="009B401D">
        <w:rPr>
          <w:rFonts w:ascii="Arial" w:eastAsia="Times New Roman" w:hAnsi="Arial" w:cs="Arial"/>
        </w:rPr>
        <w:t>(permitted until 2035)</w:t>
      </w:r>
      <w:r w:rsidR="00997494">
        <w:rPr>
          <w:rFonts w:ascii="Arial" w:eastAsia="Times New Roman" w:hAnsi="Arial" w:cs="Arial"/>
        </w:rPr>
        <w:t xml:space="preserve"> has increased the landbank </w:t>
      </w:r>
      <w:r w:rsidR="004D3B29">
        <w:rPr>
          <w:rFonts w:ascii="Arial" w:eastAsia="Times New Roman" w:hAnsi="Arial" w:cs="Arial"/>
        </w:rPr>
        <w:t>significantly</w:t>
      </w:r>
      <w:r w:rsidR="001A2FD8">
        <w:rPr>
          <w:rFonts w:ascii="Arial" w:eastAsia="Times New Roman" w:hAnsi="Arial" w:cs="Arial"/>
        </w:rPr>
        <w:t xml:space="preserve"> in 2023</w:t>
      </w:r>
      <w:r w:rsidR="004D3B29">
        <w:rPr>
          <w:rFonts w:ascii="Arial" w:eastAsia="Times New Roman" w:hAnsi="Arial" w:cs="Arial"/>
        </w:rPr>
        <w:t>.</w:t>
      </w:r>
      <w:r w:rsidR="009743BD">
        <w:rPr>
          <w:rFonts w:ascii="Arial" w:eastAsia="Times New Roman" w:hAnsi="Arial" w:cs="Arial"/>
        </w:rPr>
        <w:t xml:space="preserve"> </w:t>
      </w:r>
    </w:p>
    <w:p w14:paraId="00D5CE2D" w14:textId="2AECF089" w:rsidR="00276C70" w:rsidRPr="00276C70" w:rsidRDefault="006277C1" w:rsidP="00D73374">
      <w:pPr>
        <w:pStyle w:val="Sub-heading"/>
        <w:spacing w:line="276" w:lineRule="auto"/>
        <w:ind w:left="284"/>
        <w:jc w:val="left"/>
        <w:outlineLvl w:val="1"/>
        <w:rPr>
          <w:i/>
          <w:color w:val="001C3E"/>
          <w:sz w:val="24"/>
          <w:szCs w:val="24"/>
        </w:rPr>
      </w:pPr>
      <w:bookmarkStart w:id="37" w:name="_Toc198549806"/>
      <w:r>
        <w:rPr>
          <w:color w:val="auto"/>
          <w:sz w:val="22"/>
          <w:szCs w:val="22"/>
        </w:rPr>
        <w:t xml:space="preserve">Table </w:t>
      </w:r>
      <w:r w:rsidR="00264F3B">
        <w:rPr>
          <w:color w:val="auto"/>
          <w:sz w:val="22"/>
          <w:szCs w:val="22"/>
        </w:rPr>
        <w:t>7</w:t>
      </w:r>
      <w:r>
        <w:rPr>
          <w:color w:val="auto"/>
          <w:sz w:val="22"/>
          <w:szCs w:val="22"/>
        </w:rPr>
        <w:t>.</w:t>
      </w:r>
      <w:r w:rsidR="00B9205D" w:rsidRPr="00B9205D">
        <w:rPr>
          <w:color w:val="auto"/>
          <w:sz w:val="22"/>
          <w:szCs w:val="22"/>
        </w:rPr>
        <w:t xml:space="preserve"> Reserves </w:t>
      </w:r>
      <w:r w:rsidR="00ED6723">
        <w:rPr>
          <w:color w:val="auto"/>
          <w:sz w:val="22"/>
          <w:szCs w:val="22"/>
        </w:rPr>
        <w:t xml:space="preserve">and Landbank </w:t>
      </w:r>
      <w:r w:rsidR="00B9205D" w:rsidRPr="00B9205D">
        <w:rPr>
          <w:color w:val="auto"/>
          <w:sz w:val="22"/>
          <w:szCs w:val="22"/>
        </w:rPr>
        <w:t>of Crushed Rock for Aggregate Use</w:t>
      </w:r>
      <w:bookmarkEnd w:id="34"/>
      <w:bookmarkEnd w:id="35"/>
      <w:bookmarkEnd w:id="36"/>
      <w:bookmarkEnd w:id="37"/>
    </w:p>
    <w:tbl>
      <w:tblPr>
        <w:tblW w:w="5000" w:type="pct"/>
        <w:tblLook w:val="04A0" w:firstRow="1" w:lastRow="0" w:firstColumn="1" w:lastColumn="0" w:noHBand="0" w:noVBand="1"/>
        <w:tblCaption w:val="Reserves and Landbank of Crushed Rock for Aggregate Use"/>
        <w:tblDescription w:val="Reserves and Landbank of Crushed Rock for Aggregate Use"/>
      </w:tblPr>
      <w:tblGrid>
        <w:gridCol w:w="1802"/>
        <w:gridCol w:w="1801"/>
        <w:gridCol w:w="1801"/>
        <w:gridCol w:w="1801"/>
        <w:gridCol w:w="1801"/>
      </w:tblGrid>
      <w:tr w:rsidR="00276C70" w:rsidRPr="00276C70" w14:paraId="776B3A26" w14:textId="77777777" w:rsidTr="005C4CAD">
        <w:trPr>
          <w:trHeight w:val="315"/>
          <w:tblHeader/>
        </w:trPr>
        <w:tc>
          <w:tcPr>
            <w:tcW w:w="1000" w:type="pct"/>
            <w:tcBorders>
              <w:top w:val="single" w:sz="8" w:space="0" w:color="auto"/>
              <w:left w:val="single" w:sz="8" w:space="0" w:color="auto"/>
              <w:bottom w:val="single" w:sz="8" w:space="0" w:color="auto"/>
              <w:right w:val="single" w:sz="8" w:space="0" w:color="auto"/>
            </w:tcBorders>
            <w:shd w:val="clear" w:color="000000" w:fill="F2F2F2"/>
            <w:vAlign w:val="center"/>
            <w:hideMark/>
          </w:tcPr>
          <w:p w14:paraId="255354DD" w14:textId="77777777" w:rsidR="00276C70" w:rsidRPr="00276C70" w:rsidRDefault="00276C70" w:rsidP="00D73374">
            <w:pPr>
              <w:spacing w:line="276" w:lineRule="auto"/>
              <w:rPr>
                <w:rFonts w:ascii="Calibri" w:eastAsia="Times New Roman" w:hAnsi="Calibri" w:cs="Calibri"/>
                <w:b/>
                <w:bCs/>
                <w:color w:val="000000"/>
                <w:lang w:eastAsia="en-GB"/>
              </w:rPr>
            </w:pPr>
            <w:r w:rsidRPr="00276C70">
              <w:rPr>
                <w:rFonts w:ascii="Calibri" w:eastAsia="Times New Roman" w:hAnsi="Calibri" w:cs="Calibri"/>
                <w:b/>
                <w:bCs/>
                <w:color w:val="000000"/>
                <w:lang w:eastAsia="en-GB"/>
              </w:rPr>
              <w:lastRenderedPageBreak/>
              <w:t> </w:t>
            </w:r>
          </w:p>
        </w:tc>
        <w:tc>
          <w:tcPr>
            <w:tcW w:w="3000" w:type="pct"/>
            <w:gridSpan w:val="3"/>
            <w:tcBorders>
              <w:top w:val="single" w:sz="8" w:space="0" w:color="auto"/>
              <w:left w:val="nil"/>
              <w:bottom w:val="single" w:sz="8" w:space="0" w:color="auto"/>
              <w:right w:val="single" w:sz="8" w:space="0" w:color="000000"/>
            </w:tcBorders>
            <w:shd w:val="clear" w:color="000000" w:fill="F2F2F2"/>
            <w:vAlign w:val="center"/>
            <w:hideMark/>
          </w:tcPr>
          <w:p w14:paraId="08EB64D4" w14:textId="77777777" w:rsidR="00276C70" w:rsidRPr="00276C70" w:rsidRDefault="00276C70" w:rsidP="00D73374">
            <w:pPr>
              <w:spacing w:line="276" w:lineRule="auto"/>
              <w:jc w:val="center"/>
              <w:rPr>
                <w:rFonts w:ascii="Calibri" w:eastAsia="Times New Roman" w:hAnsi="Calibri" w:cs="Calibri"/>
                <w:b/>
                <w:bCs/>
                <w:color w:val="000000"/>
                <w:lang w:eastAsia="en-GB"/>
              </w:rPr>
            </w:pPr>
            <w:r w:rsidRPr="00276C70">
              <w:rPr>
                <w:rFonts w:ascii="Calibri" w:eastAsia="Times New Roman" w:hAnsi="Calibri" w:cs="Calibri"/>
                <w:b/>
                <w:bCs/>
                <w:color w:val="000000"/>
                <w:lang w:eastAsia="en-GB"/>
              </w:rPr>
              <w:t>Limestone (Crushed Rock)</w:t>
            </w:r>
          </w:p>
        </w:tc>
        <w:tc>
          <w:tcPr>
            <w:tcW w:w="1000" w:type="pct"/>
            <w:tcBorders>
              <w:top w:val="single" w:sz="8" w:space="0" w:color="auto"/>
              <w:left w:val="nil"/>
              <w:bottom w:val="single" w:sz="8" w:space="0" w:color="auto"/>
              <w:right w:val="single" w:sz="8" w:space="0" w:color="auto"/>
            </w:tcBorders>
            <w:shd w:val="clear" w:color="000000" w:fill="F2F2F2"/>
            <w:vAlign w:val="center"/>
            <w:hideMark/>
          </w:tcPr>
          <w:p w14:paraId="4987BD05" w14:textId="77777777" w:rsidR="00276C70" w:rsidRPr="00276C70" w:rsidRDefault="00276C70" w:rsidP="00D73374">
            <w:pPr>
              <w:spacing w:line="276" w:lineRule="auto"/>
              <w:rPr>
                <w:rFonts w:ascii="Calibri" w:eastAsia="Times New Roman" w:hAnsi="Calibri" w:cs="Calibri"/>
                <w:b/>
                <w:bCs/>
                <w:color w:val="000000"/>
                <w:lang w:eastAsia="en-GB"/>
              </w:rPr>
            </w:pPr>
            <w:r w:rsidRPr="00276C70">
              <w:rPr>
                <w:rFonts w:ascii="Calibri" w:eastAsia="Times New Roman" w:hAnsi="Calibri" w:cs="Calibri"/>
                <w:b/>
                <w:bCs/>
                <w:color w:val="000000"/>
                <w:lang w:eastAsia="en-GB"/>
              </w:rPr>
              <w:t> </w:t>
            </w:r>
          </w:p>
        </w:tc>
      </w:tr>
      <w:tr w:rsidR="00276C70" w:rsidRPr="00276C70" w14:paraId="54186668" w14:textId="77777777" w:rsidTr="005C4CAD">
        <w:trPr>
          <w:trHeight w:val="1035"/>
          <w:tblHeader/>
        </w:trPr>
        <w:tc>
          <w:tcPr>
            <w:tcW w:w="1000" w:type="pct"/>
            <w:tcBorders>
              <w:top w:val="nil"/>
              <w:left w:val="single" w:sz="8" w:space="0" w:color="auto"/>
              <w:bottom w:val="single" w:sz="8" w:space="0" w:color="auto"/>
              <w:right w:val="single" w:sz="8" w:space="0" w:color="auto"/>
            </w:tcBorders>
            <w:shd w:val="clear" w:color="000000" w:fill="F2F2F2"/>
            <w:vAlign w:val="center"/>
            <w:hideMark/>
          </w:tcPr>
          <w:p w14:paraId="67A2B758" w14:textId="77777777" w:rsidR="00276C70" w:rsidRPr="00276C70" w:rsidRDefault="00276C70" w:rsidP="00D73374">
            <w:pPr>
              <w:spacing w:line="276" w:lineRule="auto"/>
              <w:rPr>
                <w:rFonts w:ascii="Calibri" w:eastAsia="Times New Roman" w:hAnsi="Calibri" w:cs="Calibri"/>
                <w:b/>
                <w:bCs/>
                <w:color w:val="000000"/>
                <w:lang w:eastAsia="en-GB"/>
              </w:rPr>
            </w:pPr>
            <w:r w:rsidRPr="00276C70">
              <w:rPr>
                <w:rFonts w:ascii="Calibri" w:eastAsia="Times New Roman" w:hAnsi="Calibri" w:cs="Calibri"/>
                <w:b/>
                <w:bCs/>
                <w:color w:val="000000"/>
                <w:lang w:eastAsia="en-GB"/>
              </w:rPr>
              <w:t xml:space="preserve"> Year </w:t>
            </w:r>
          </w:p>
        </w:tc>
        <w:tc>
          <w:tcPr>
            <w:tcW w:w="1000" w:type="pct"/>
            <w:tcBorders>
              <w:top w:val="nil"/>
              <w:left w:val="nil"/>
              <w:bottom w:val="single" w:sz="8" w:space="0" w:color="auto"/>
              <w:right w:val="single" w:sz="8" w:space="0" w:color="auto"/>
            </w:tcBorders>
            <w:shd w:val="clear" w:color="000000" w:fill="F2F2F2"/>
            <w:vAlign w:val="center"/>
            <w:hideMark/>
          </w:tcPr>
          <w:p w14:paraId="68608867" w14:textId="77777777" w:rsidR="00276C70" w:rsidRPr="00276C70" w:rsidRDefault="00276C70" w:rsidP="00D73374">
            <w:pPr>
              <w:spacing w:line="276" w:lineRule="auto"/>
              <w:jc w:val="center"/>
              <w:rPr>
                <w:rFonts w:ascii="Calibri" w:eastAsia="Times New Roman" w:hAnsi="Calibri" w:cs="Calibri"/>
                <w:b/>
                <w:bCs/>
                <w:color w:val="000000"/>
                <w:lang w:eastAsia="en-GB"/>
              </w:rPr>
            </w:pPr>
            <w:r w:rsidRPr="00276C70">
              <w:rPr>
                <w:rFonts w:ascii="Calibri" w:eastAsia="Times New Roman" w:hAnsi="Calibri" w:cs="Calibri"/>
                <w:b/>
                <w:bCs/>
                <w:color w:val="000000"/>
                <w:lang w:eastAsia="en-GB"/>
              </w:rPr>
              <w:t>Reserve (Mt)</w:t>
            </w:r>
          </w:p>
        </w:tc>
        <w:tc>
          <w:tcPr>
            <w:tcW w:w="1000" w:type="pct"/>
            <w:tcBorders>
              <w:top w:val="nil"/>
              <w:left w:val="nil"/>
              <w:bottom w:val="single" w:sz="8" w:space="0" w:color="auto"/>
              <w:right w:val="single" w:sz="8" w:space="0" w:color="auto"/>
            </w:tcBorders>
            <w:shd w:val="clear" w:color="000000" w:fill="F2F2F2"/>
            <w:vAlign w:val="center"/>
            <w:hideMark/>
          </w:tcPr>
          <w:p w14:paraId="5A5DC4AA" w14:textId="77777777" w:rsidR="00276C70" w:rsidRPr="00276C70" w:rsidRDefault="00276C70" w:rsidP="00D73374">
            <w:pPr>
              <w:spacing w:line="276" w:lineRule="auto"/>
              <w:jc w:val="center"/>
              <w:rPr>
                <w:rFonts w:ascii="Calibri" w:eastAsia="Times New Roman" w:hAnsi="Calibri" w:cs="Calibri"/>
                <w:b/>
                <w:bCs/>
                <w:color w:val="000000"/>
                <w:lang w:eastAsia="en-GB"/>
              </w:rPr>
            </w:pPr>
            <w:r w:rsidRPr="00276C70">
              <w:rPr>
                <w:rFonts w:ascii="Calibri" w:eastAsia="Times New Roman" w:hAnsi="Calibri" w:cs="Calibri"/>
                <w:b/>
                <w:bCs/>
                <w:color w:val="000000"/>
                <w:lang w:eastAsia="en-GB"/>
              </w:rPr>
              <w:t xml:space="preserve">Landbank </w:t>
            </w:r>
            <w:r w:rsidRPr="00276C70">
              <w:rPr>
                <w:rFonts w:ascii="Calibri" w:eastAsia="Times New Roman" w:hAnsi="Calibri" w:cs="Calibri"/>
                <w:b/>
                <w:bCs/>
                <w:color w:val="000000"/>
                <w:sz w:val="18"/>
                <w:szCs w:val="18"/>
                <w:lang w:eastAsia="en-GB"/>
              </w:rPr>
              <w:t xml:space="preserve">(yrs) (based on </w:t>
            </w:r>
            <w:proofErr w:type="gramStart"/>
            <w:r w:rsidRPr="00276C70">
              <w:rPr>
                <w:rFonts w:ascii="Calibri" w:eastAsia="Times New Roman" w:hAnsi="Calibri" w:cs="Calibri"/>
                <w:b/>
                <w:bCs/>
                <w:color w:val="000000"/>
                <w:sz w:val="18"/>
                <w:szCs w:val="18"/>
                <w:lang w:eastAsia="en-GB"/>
              </w:rPr>
              <w:t>10 year</w:t>
            </w:r>
            <w:proofErr w:type="gramEnd"/>
            <w:r w:rsidRPr="00276C70">
              <w:rPr>
                <w:rFonts w:ascii="Calibri" w:eastAsia="Times New Roman" w:hAnsi="Calibri" w:cs="Calibri"/>
                <w:b/>
                <w:bCs/>
                <w:color w:val="000000"/>
                <w:sz w:val="18"/>
                <w:szCs w:val="18"/>
                <w:lang w:eastAsia="en-GB"/>
              </w:rPr>
              <w:t xml:space="preserve"> average sales)</w:t>
            </w:r>
          </w:p>
        </w:tc>
        <w:tc>
          <w:tcPr>
            <w:tcW w:w="1000" w:type="pct"/>
            <w:tcBorders>
              <w:top w:val="nil"/>
              <w:left w:val="nil"/>
              <w:bottom w:val="single" w:sz="8" w:space="0" w:color="auto"/>
              <w:right w:val="single" w:sz="8" w:space="0" w:color="auto"/>
            </w:tcBorders>
            <w:shd w:val="clear" w:color="000000" w:fill="F2F2F2"/>
            <w:vAlign w:val="center"/>
            <w:hideMark/>
          </w:tcPr>
          <w:p w14:paraId="5A4E8127" w14:textId="77777777" w:rsidR="00276C70" w:rsidRPr="00276C70" w:rsidRDefault="00276C70" w:rsidP="00D73374">
            <w:pPr>
              <w:spacing w:line="276" w:lineRule="auto"/>
              <w:jc w:val="center"/>
              <w:rPr>
                <w:rFonts w:ascii="Calibri" w:eastAsia="Times New Roman" w:hAnsi="Calibri" w:cs="Calibri"/>
                <w:b/>
                <w:bCs/>
                <w:color w:val="808080"/>
                <w:lang w:eastAsia="en-GB"/>
              </w:rPr>
            </w:pPr>
            <w:r w:rsidRPr="00276C70">
              <w:rPr>
                <w:rFonts w:ascii="Calibri" w:eastAsia="Times New Roman" w:hAnsi="Calibri" w:cs="Calibri"/>
                <w:b/>
                <w:bCs/>
                <w:color w:val="808080"/>
                <w:lang w:eastAsia="en-GB"/>
              </w:rPr>
              <w:t xml:space="preserve">Landbank </w:t>
            </w:r>
            <w:r w:rsidRPr="00276C70">
              <w:rPr>
                <w:rFonts w:ascii="Calibri" w:eastAsia="Times New Roman" w:hAnsi="Calibri" w:cs="Calibri"/>
                <w:b/>
                <w:bCs/>
                <w:color w:val="808080"/>
                <w:sz w:val="18"/>
                <w:szCs w:val="18"/>
                <w:lang w:eastAsia="en-GB"/>
              </w:rPr>
              <w:t xml:space="preserve">(yrs) (based on </w:t>
            </w:r>
            <w:proofErr w:type="gramStart"/>
            <w:r w:rsidRPr="00276C70">
              <w:rPr>
                <w:rFonts w:ascii="Calibri" w:eastAsia="Times New Roman" w:hAnsi="Calibri" w:cs="Calibri"/>
                <w:b/>
                <w:bCs/>
                <w:color w:val="808080"/>
                <w:sz w:val="18"/>
                <w:szCs w:val="18"/>
                <w:lang w:eastAsia="en-GB"/>
              </w:rPr>
              <w:t>3 year</w:t>
            </w:r>
            <w:proofErr w:type="gramEnd"/>
            <w:r w:rsidRPr="00276C70">
              <w:rPr>
                <w:rFonts w:ascii="Calibri" w:eastAsia="Times New Roman" w:hAnsi="Calibri" w:cs="Calibri"/>
                <w:b/>
                <w:bCs/>
                <w:color w:val="808080"/>
                <w:sz w:val="18"/>
                <w:szCs w:val="18"/>
                <w:lang w:eastAsia="en-GB"/>
              </w:rPr>
              <w:t xml:space="preserve"> average sales)</w:t>
            </w:r>
          </w:p>
        </w:tc>
        <w:tc>
          <w:tcPr>
            <w:tcW w:w="1000" w:type="pct"/>
            <w:tcBorders>
              <w:top w:val="nil"/>
              <w:left w:val="nil"/>
              <w:bottom w:val="single" w:sz="8" w:space="0" w:color="auto"/>
              <w:right w:val="single" w:sz="8" w:space="0" w:color="auto"/>
            </w:tcBorders>
            <w:shd w:val="clear" w:color="000000" w:fill="F2F2F2"/>
            <w:vAlign w:val="center"/>
            <w:hideMark/>
          </w:tcPr>
          <w:p w14:paraId="10BD9561" w14:textId="77777777" w:rsidR="00276C70" w:rsidRPr="00833898" w:rsidRDefault="00276C70" w:rsidP="00D73374">
            <w:pPr>
              <w:spacing w:line="276" w:lineRule="auto"/>
              <w:jc w:val="center"/>
              <w:rPr>
                <w:rFonts w:ascii="Calibri" w:eastAsia="Times New Roman" w:hAnsi="Calibri" w:cs="Calibri"/>
                <w:b/>
                <w:bCs/>
                <w:color w:val="808080"/>
                <w:sz w:val="20"/>
                <w:szCs w:val="20"/>
                <w:lang w:eastAsia="en-GB"/>
              </w:rPr>
            </w:pPr>
            <w:r w:rsidRPr="00833898">
              <w:rPr>
                <w:rFonts w:ascii="Calibri" w:eastAsia="Times New Roman" w:hAnsi="Calibri" w:cs="Calibri"/>
                <w:b/>
                <w:bCs/>
                <w:lang w:eastAsia="en-GB"/>
              </w:rPr>
              <w:t>Landbank (yrs)</w:t>
            </w:r>
            <w:r w:rsidRPr="00833898">
              <w:rPr>
                <w:rFonts w:ascii="Calibri" w:eastAsia="Times New Roman" w:hAnsi="Calibri" w:cs="Calibri"/>
                <w:b/>
                <w:bCs/>
                <w:sz w:val="20"/>
                <w:szCs w:val="20"/>
                <w:lang w:eastAsia="en-GB"/>
              </w:rPr>
              <w:t xml:space="preserve"> </w:t>
            </w:r>
            <w:r w:rsidRPr="00833898">
              <w:rPr>
                <w:rFonts w:ascii="Calibri" w:eastAsia="Times New Roman" w:hAnsi="Calibri" w:cs="Calibri"/>
                <w:b/>
                <w:bCs/>
                <w:sz w:val="18"/>
                <w:szCs w:val="18"/>
                <w:lang w:eastAsia="en-GB"/>
              </w:rPr>
              <w:t>based on Local Plan fixed annual provision (2Mt)</w:t>
            </w:r>
          </w:p>
        </w:tc>
      </w:tr>
      <w:tr w:rsidR="00276C70" w:rsidRPr="00276C70" w14:paraId="12BF7F0B" w14:textId="77777777" w:rsidTr="00631DFE">
        <w:trPr>
          <w:trHeight w:val="315"/>
        </w:trPr>
        <w:tc>
          <w:tcPr>
            <w:tcW w:w="1000" w:type="pct"/>
            <w:tcBorders>
              <w:top w:val="nil"/>
              <w:left w:val="single" w:sz="8" w:space="0" w:color="auto"/>
              <w:bottom w:val="single" w:sz="8" w:space="0" w:color="auto"/>
              <w:right w:val="single" w:sz="8" w:space="0" w:color="auto"/>
            </w:tcBorders>
            <w:shd w:val="clear" w:color="auto" w:fill="auto"/>
            <w:noWrap/>
            <w:vAlign w:val="center"/>
            <w:hideMark/>
          </w:tcPr>
          <w:p w14:paraId="626F9C22" w14:textId="77777777" w:rsidR="00276C70" w:rsidRPr="00276C70" w:rsidRDefault="00276C70" w:rsidP="00D73374">
            <w:pPr>
              <w:spacing w:line="276" w:lineRule="auto"/>
              <w:rPr>
                <w:rFonts w:ascii="Calibri" w:eastAsia="Times New Roman" w:hAnsi="Calibri" w:cs="Calibri"/>
                <w:color w:val="000000"/>
                <w:lang w:eastAsia="en-GB"/>
              </w:rPr>
            </w:pPr>
            <w:r w:rsidRPr="00276C70">
              <w:rPr>
                <w:rFonts w:ascii="Calibri" w:eastAsia="Times New Roman" w:hAnsi="Calibri" w:cs="Calibri"/>
                <w:color w:val="000000"/>
                <w:lang w:eastAsia="en-GB"/>
              </w:rPr>
              <w:t>2013</w:t>
            </w:r>
          </w:p>
        </w:tc>
        <w:tc>
          <w:tcPr>
            <w:tcW w:w="1000" w:type="pct"/>
            <w:tcBorders>
              <w:top w:val="nil"/>
              <w:left w:val="nil"/>
              <w:bottom w:val="single" w:sz="8" w:space="0" w:color="auto"/>
              <w:right w:val="single" w:sz="8" w:space="0" w:color="auto"/>
            </w:tcBorders>
            <w:shd w:val="clear" w:color="auto" w:fill="auto"/>
            <w:noWrap/>
            <w:vAlign w:val="center"/>
            <w:hideMark/>
          </w:tcPr>
          <w:p w14:paraId="6EC5BE55"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59.5</w:t>
            </w:r>
          </w:p>
        </w:tc>
        <w:tc>
          <w:tcPr>
            <w:tcW w:w="1000" w:type="pct"/>
            <w:tcBorders>
              <w:top w:val="nil"/>
              <w:left w:val="nil"/>
              <w:bottom w:val="single" w:sz="8" w:space="0" w:color="auto"/>
              <w:right w:val="single" w:sz="8" w:space="0" w:color="auto"/>
            </w:tcBorders>
            <w:shd w:val="clear" w:color="auto" w:fill="auto"/>
            <w:noWrap/>
            <w:vAlign w:val="center"/>
            <w:hideMark/>
          </w:tcPr>
          <w:p w14:paraId="3323B7FE"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31.3</w:t>
            </w:r>
          </w:p>
        </w:tc>
        <w:tc>
          <w:tcPr>
            <w:tcW w:w="1000" w:type="pct"/>
            <w:tcBorders>
              <w:top w:val="nil"/>
              <w:left w:val="nil"/>
              <w:bottom w:val="single" w:sz="8" w:space="0" w:color="auto"/>
              <w:right w:val="single" w:sz="8" w:space="0" w:color="auto"/>
            </w:tcBorders>
            <w:shd w:val="clear" w:color="000000" w:fill="0D0D0D"/>
            <w:vAlign w:val="center"/>
            <w:hideMark/>
          </w:tcPr>
          <w:p w14:paraId="7C566183" w14:textId="77777777" w:rsidR="00276C70" w:rsidRPr="00276C70" w:rsidRDefault="00276C70" w:rsidP="00D73374">
            <w:pPr>
              <w:spacing w:line="276" w:lineRule="auto"/>
              <w:jc w:val="center"/>
              <w:rPr>
                <w:rFonts w:ascii="Calibri" w:eastAsia="Times New Roman" w:hAnsi="Calibri" w:cs="Calibri"/>
                <w:color w:val="808080"/>
                <w:lang w:eastAsia="en-GB"/>
              </w:rPr>
            </w:pPr>
            <w:r w:rsidRPr="00276C70">
              <w:rPr>
                <w:rFonts w:ascii="Calibri" w:eastAsia="Times New Roman" w:hAnsi="Calibri" w:cs="Calibri"/>
                <w:color w:val="808080"/>
                <w:lang w:eastAsia="en-GB"/>
              </w:rPr>
              <w:t> </w:t>
            </w:r>
          </w:p>
        </w:tc>
        <w:tc>
          <w:tcPr>
            <w:tcW w:w="1000" w:type="pct"/>
            <w:tcBorders>
              <w:top w:val="nil"/>
              <w:left w:val="nil"/>
              <w:bottom w:val="single" w:sz="8" w:space="0" w:color="auto"/>
              <w:right w:val="single" w:sz="8" w:space="0" w:color="auto"/>
            </w:tcBorders>
            <w:shd w:val="clear" w:color="000000" w:fill="0D0D0D"/>
            <w:vAlign w:val="center"/>
            <w:hideMark/>
          </w:tcPr>
          <w:p w14:paraId="18E7E16B" w14:textId="77777777" w:rsidR="00276C70" w:rsidRPr="00276C70" w:rsidRDefault="00276C70" w:rsidP="00D73374">
            <w:pPr>
              <w:spacing w:line="276" w:lineRule="auto"/>
              <w:jc w:val="center"/>
              <w:rPr>
                <w:rFonts w:ascii="Calibri" w:eastAsia="Times New Roman" w:hAnsi="Calibri" w:cs="Calibri"/>
                <w:color w:val="808080"/>
                <w:lang w:eastAsia="en-GB"/>
              </w:rPr>
            </w:pPr>
            <w:r w:rsidRPr="00276C70">
              <w:rPr>
                <w:rFonts w:ascii="Calibri" w:eastAsia="Times New Roman" w:hAnsi="Calibri" w:cs="Calibri"/>
                <w:color w:val="808080"/>
                <w:lang w:eastAsia="en-GB"/>
              </w:rPr>
              <w:t> </w:t>
            </w:r>
          </w:p>
        </w:tc>
      </w:tr>
      <w:tr w:rsidR="00276C70" w:rsidRPr="00276C70" w14:paraId="14871D8D" w14:textId="77777777" w:rsidTr="00631DFE">
        <w:trPr>
          <w:trHeight w:val="315"/>
        </w:trPr>
        <w:tc>
          <w:tcPr>
            <w:tcW w:w="1000" w:type="pct"/>
            <w:tcBorders>
              <w:top w:val="nil"/>
              <w:left w:val="single" w:sz="8" w:space="0" w:color="auto"/>
              <w:bottom w:val="single" w:sz="8" w:space="0" w:color="auto"/>
              <w:right w:val="single" w:sz="8" w:space="0" w:color="auto"/>
            </w:tcBorders>
            <w:shd w:val="clear" w:color="auto" w:fill="auto"/>
            <w:noWrap/>
            <w:vAlign w:val="center"/>
            <w:hideMark/>
          </w:tcPr>
          <w:p w14:paraId="5779932D" w14:textId="77777777" w:rsidR="00276C70" w:rsidRPr="00276C70" w:rsidRDefault="00276C70" w:rsidP="00D73374">
            <w:pPr>
              <w:spacing w:line="276" w:lineRule="auto"/>
              <w:rPr>
                <w:rFonts w:ascii="Calibri" w:eastAsia="Times New Roman" w:hAnsi="Calibri" w:cs="Calibri"/>
                <w:color w:val="000000"/>
                <w:lang w:eastAsia="en-GB"/>
              </w:rPr>
            </w:pPr>
            <w:r w:rsidRPr="00276C70">
              <w:rPr>
                <w:rFonts w:ascii="Calibri" w:eastAsia="Times New Roman" w:hAnsi="Calibri" w:cs="Calibri"/>
                <w:color w:val="000000"/>
                <w:lang w:eastAsia="en-GB"/>
              </w:rPr>
              <w:t>2014</w:t>
            </w:r>
          </w:p>
        </w:tc>
        <w:tc>
          <w:tcPr>
            <w:tcW w:w="1000" w:type="pct"/>
            <w:tcBorders>
              <w:top w:val="nil"/>
              <w:left w:val="nil"/>
              <w:bottom w:val="single" w:sz="8" w:space="0" w:color="auto"/>
              <w:right w:val="single" w:sz="8" w:space="0" w:color="auto"/>
            </w:tcBorders>
            <w:shd w:val="clear" w:color="auto" w:fill="auto"/>
            <w:noWrap/>
            <w:vAlign w:val="center"/>
            <w:hideMark/>
          </w:tcPr>
          <w:p w14:paraId="6E0FF871"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57.6</w:t>
            </w:r>
          </w:p>
        </w:tc>
        <w:tc>
          <w:tcPr>
            <w:tcW w:w="1000" w:type="pct"/>
            <w:tcBorders>
              <w:top w:val="nil"/>
              <w:left w:val="nil"/>
              <w:bottom w:val="single" w:sz="8" w:space="0" w:color="auto"/>
              <w:right w:val="single" w:sz="8" w:space="0" w:color="auto"/>
            </w:tcBorders>
            <w:shd w:val="clear" w:color="auto" w:fill="auto"/>
            <w:noWrap/>
            <w:vAlign w:val="center"/>
            <w:hideMark/>
          </w:tcPr>
          <w:p w14:paraId="75BAF1BF"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32.5</w:t>
            </w:r>
          </w:p>
        </w:tc>
        <w:tc>
          <w:tcPr>
            <w:tcW w:w="1000" w:type="pct"/>
            <w:tcBorders>
              <w:top w:val="nil"/>
              <w:left w:val="nil"/>
              <w:bottom w:val="single" w:sz="8" w:space="0" w:color="auto"/>
              <w:right w:val="single" w:sz="8" w:space="0" w:color="auto"/>
            </w:tcBorders>
            <w:shd w:val="clear" w:color="000000" w:fill="0D0D0D"/>
            <w:vAlign w:val="center"/>
            <w:hideMark/>
          </w:tcPr>
          <w:p w14:paraId="1FD91F67" w14:textId="77777777" w:rsidR="00276C70" w:rsidRPr="00276C70" w:rsidRDefault="00276C70" w:rsidP="00D73374">
            <w:pPr>
              <w:spacing w:line="276" w:lineRule="auto"/>
              <w:jc w:val="center"/>
              <w:rPr>
                <w:rFonts w:ascii="Calibri" w:eastAsia="Times New Roman" w:hAnsi="Calibri" w:cs="Calibri"/>
                <w:color w:val="808080"/>
                <w:lang w:eastAsia="en-GB"/>
              </w:rPr>
            </w:pPr>
            <w:r w:rsidRPr="00276C70">
              <w:rPr>
                <w:rFonts w:ascii="Calibri" w:eastAsia="Times New Roman" w:hAnsi="Calibri" w:cs="Calibri"/>
                <w:color w:val="808080"/>
                <w:lang w:eastAsia="en-GB"/>
              </w:rPr>
              <w:t> </w:t>
            </w:r>
          </w:p>
        </w:tc>
        <w:tc>
          <w:tcPr>
            <w:tcW w:w="1000" w:type="pct"/>
            <w:tcBorders>
              <w:top w:val="nil"/>
              <w:left w:val="nil"/>
              <w:bottom w:val="single" w:sz="8" w:space="0" w:color="auto"/>
              <w:right w:val="single" w:sz="8" w:space="0" w:color="auto"/>
            </w:tcBorders>
            <w:shd w:val="clear" w:color="000000" w:fill="0D0D0D"/>
            <w:vAlign w:val="center"/>
            <w:hideMark/>
          </w:tcPr>
          <w:p w14:paraId="6796855D" w14:textId="77777777" w:rsidR="00276C70" w:rsidRPr="00276C70" w:rsidRDefault="00276C70" w:rsidP="00D73374">
            <w:pPr>
              <w:spacing w:line="276" w:lineRule="auto"/>
              <w:jc w:val="center"/>
              <w:rPr>
                <w:rFonts w:ascii="Calibri" w:eastAsia="Times New Roman" w:hAnsi="Calibri" w:cs="Calibri"/>
                <w:color w:val="808080"/>
                <w:lang w:eastAsia="en-GB"/>
              </w:rPr>
            </w:pPr>
            <w:r w:rsidRPr="00276C70">
              <w:rPr>
                <w:rFonts w:ascii="Calibri" w:eastAsia="Times New Roman" w:hAnsi="Calibri" w:cs="Calibri"/>
                <w:color w:val="808080"/>
                <w:lang w:eastAsia="en-GB"/>
              </w:rPr>
              <w:t> </w:t>
            </w:r>
          </w:p>
        </w:tc>
      </w:tr>
      <w:tr w:rsidR="00276C70" w:rsidRPr="00276C70" w14:paraId="763651C8" w14:textId="77777777" w:rsidTr="00631DFE">
        <w:trPr>
          <w:trHeight w:val="315"/>
        </w:trPr>
        <w:tc>
          <w:tcPr>
            <w:tcW w:w="1000" w:type="pct"/>
            <w:tcBorders>
              <w:top w:val="nil"/>
              <w:left w:val="single" w:sz="8" w:space="0" w:color="auto"/>
              <w:bottom w:val="single" w:sz="8" w:space="0" w:color="auto"/>
              <w:right w:val="single" w:sz="8" w:space="0" w:color="auto"/>
            </w:tcBorders>
            <w:shd w:val="clear" w:color="000000" w:fill="FFFFFF"/>
            <w:noWrap/>
            <w:vAlign w:val="center"/>
            <w:hideMark/>
          </w:tcPr>
          <w:p w14:paraId="1E8558C1" w14:textId="77777777" w:rsidR="00276C70" w:rsidRPr="00276C70" w:rsidRDefault="00276C70" w:rsidP="00D73374">
            <w:pPr>
              <w:spacing w:line="276" w:lineRule="auto"/>
              <w:rPr>
                <w:rFonts w:ascii="Calibri" w:eastAsia="Times New Roman" w:hAnsi="Calibri" w:cs="Calibri"/>
                <w:color w:val="000000"/>
                <w:lang w:eastAsia="en-GB"/>
              </w:rPr>
            </w:pPr>
            <w:r w:rsidRPr="00276C70">
              <w:rPr>
                <w:rFonts w:ascii="Calibri" w:eastAsia="Times New Roman" w:hAnsi="Calibri" w:cs="Calibri"/>
                <w:color w:val="000000"/>
                <w:lang w:eastAsia="en-GB"/>
              </w:rPr>
              <w:t>2015</w:t>
            </w:r>
          </w:p>
        </w:tc>
        <w:tc>
          <w:tcPr>
            <w:tcW w:w="1000" w:type="pct"/>
            <w:tcBorders>
              <w:top w:val="nil"/>
              <w:left w:val="nil"/>
              <w:bottom w:val="single" w:sz="8" w:space="0" w:color="auto"/>
              <w:right w:val="single" w:sz="8" w:space="0" w:color="auto"/>
            </w:tcBorders>
            <w:shd w:val="clear" w:color="000000" w:fill="FFFFFF"/>
            <w:noWrap/>
            <w:vAlign w:val="center"/>
            <w:hideMark/>
          </w:tcPr>
          <w:p w14:paraId="7CAAB63B"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56.6</w:t>
            </w:r>
          </w:p>
        </w:tc>
        <w:tc>
          <w:tcPr>
            <w:tcW w:w="1000" w:type="pct"/>
            <w:tcBorders>
              <w:top w:val="nil"/>
              <w:left w:val="nil"/>
              <w:bottom w:val="single" w:sz="8" w:space="0" w:color="auto"/>
              <w:right w:val="single" w:sz="8" w:space="0" w:color="auto"/>
            </w:tcBorders>
            <w:shd w:val="clear" w:color="000000" w:fill="FFFFFF"/>
            <w:noWrap/>
            <w:vAlign w:val="center"/>
            <w:hideMark/>
          </w:tcPr>
          <w:p w14:paraId="3C1DF8A2"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32.5</w:t>
            </w:r>
          </w:p>
        </w:tc>
        <w:tc>
          <w:tcPr>
            <w:tcW w:w="1000" w:type="pct"/>
            <w:tcBorders>
              <w:top w:val="nil"/>
              <w:left w:val="nil"/>
              <w:bottom w:val="single" w:sz="8" w:space="0" w:color="auto"/>
              <w:right w:val="single" w:sz="8" w:space="0" w:color="auto"/>
            </w:tcBorders>
            <w:shd w:val="clear" w:color="000000" w:fill="0D0D0D"/>
            <w:vAlign w:val="center"/>
            <w:hideMark/>
          </w:tcPr>
          <w:p w14:paraId="64D83AC9" w14:textId="77777777" w:rsidR="00276C70" w:rsidRPr="00276C70" w:rsidRDefault="00276C70" w:rsidP="00D73374">
            <w:pPr>
              <w:spacing w:line="276" w:lineRule="auto"/>
              <w:jc w:val="center"/>
              <w:rPr>
                <w:rFonts w:ascii="Calibri" w:eastAsia="Times New Roman" w:hAnsi="Calibri" w:cs="Calibri"/>
                <w:color w:val="808080"/>
                <w:lang w:eastAsia="en-GB"/>
              </w:rPr>
            </w:pPr>
            <w:r w:rsidRPr="00276C70">
              <w:rPr>
                <w:rFonts w:ascii="Calibri" w:eastAsia="Times New Roman" w:hAnsi="Calibri" w:cs="Calibri"/>
                <w:color w:val="808080"/>
                <w:lang w:eastAsia="en-GB"/>
              </w:rPr>
              <w:t> </w:t>
            </w:r>
          </w:p>
        </w:tc>
        <w:tc>
          <w:tcPr>
            <w:tcW w:w="1000" w:type="pct"/>
            <w:tcBorders>
              <w:top w:val="nil"/>
              <w:left w:val="nil"/>
              <w:bottom w:val="single" w:sz="8" w:space="0" w:color="auto"/>
              <w:right w:val="single" w:sz="8" w:space="0" w:color="auto"/>
            </w:tcBorders>
            <w:shd w:val="clear" w:color="000000" w:fill="0D0D0D"/>
            <w:vAlign w:val="center"/>
            <w:hideMark/>
          </w:tcPr>
          <w:p w14:paraId="56542C5A" w14:textId="77777777" w:rsidR="00276C70" w:rsidRPr="00276C70" w:rsidRDefault="00276C70" w:rsidP="00D73374">
            <w:pPr>
              <w:spacing w:line="276" w:lineRule="auto"/>
              <w:jc w:val="center"/>
              <w:rPr>
                <w:rFonts w:ascii="Calibri" w:eastAsia="Times New Roman" w:hAnsi="Calibri" w:cs="Calibri"/>
                <w:color w:val="808080"/>
                <w:lang w:eastAsia="en-GB"/>
              </w:rPr>
            </w:pPr>
            <w:r w:rsidRPr="00276C70">
              <w:rPr>
                <w:rFonts w:ascii="Calibri" w:eastAsia="Times New Roman" w:hAnsi="Calibri" w:cs="Calibri"/>
                <w:color w:val="808080"/>
                <w:lang w:eastAsia="en-GB"/>
              </w:rPr>
              <w:t> </w:t>
            </w:r>
          </w:p>
        </w:tc>
      </w:tr>
      <w:tr w:rsidR="00276C70" w:rsidRPr="00276C70" w14:paraId="188DE615" w14:textId="77777777" w:rsidTr="00631DFE">
        <w:trPr>
          <w:trHeight w:val="315"/>
        </w:trPr>
        <w:tc>
          <w:tcPr>
            <w:tcW w:w="1000" w:type="pct"/>
            <w:tcBorders>
              <w:top w:val="nil"/>
              <w:left w:val="single" w:sz="8" w:space="0" w:color="auto"/>
              <w:bottom w:val="single" w:sz="8" w:space="0" w:color="auto"/>
              <w:right w:val="single" w:sz="8" w:space="0" w:color="auto"/>
            </w:tcBorders>
            <w:shd w:val="clear" w:color="000000" w:fill="FFFFFF"/>
            <w:noWrap/>
            <w:vAlign w:val="center"/>
            <w:hideMark/>
          </w:tcPr>
          <w:p w14:paraId="1CEC64BD" w14:textId="77777777" w:rsidR="00276C70" w:rsidRPr="00276C70" w:rsidRDefault="00276C70" w:rsidP="00D73374">
            <w:pPr>
              <w:spacing w:line="276" w:lineRule="auto"/>
              <w:rPr>
                <w:rFonts w:ascii="Calibri" w:eastAsia="Times New Roman" w:hAnsi="Calibri" w:cs="Calibri"/>
                <w:color w:val="000000"/>
                <w:lang w:eastAsia="en-GB"/>
              </w:rPr>
            </w:pPr>
            <w:r w:rsidRPr="00276C70">
              <w:rPr>
                <w:rFonts w:ascii="Calibri" w:eastAsia="Times New Roman" w:hAnsi="Calibri" w:cs="Calibri"/>
                <w:color w:val="000000"/>
                <w:lang w:eastAsia="en-GB"/>
              </w:rPr>
              <w:t>2016</w:t>
            </w:r>
          </w:p>
        </w:tc>
        <w:tc>
          <w:tcPr>
            <w:tcW w:w="1000" w:type="pct"/>
            <w:tcBorders>
              <w:top w:val="nil"/>
              <w:left w:val="nil"/>
              <w:bottom w:val="single" w:sz="8" w:space="0" w:color="auto"/>
              <w:right w:val="single" w:sz="8" w:space="0" w:color="auto"/>
            </w:tcBorders>
            <w:shd w:val="clear" w:color="auto" w:fill="auto"/>
            <w:noWrap/>
            <w:vAlign w:val="center"/>
            <w:hideMark/>
          </w:tcPr>
          <w:p w14:paraId="33E15C89"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52.1</w:t>
            </w:r>
          </w:p>
        </w:tc>
        <w:tc>
          <w:tcPr>
            <w:tcW w:w="1000" w:type="pct"/>
            <w:tcBorders>
              <w:top w:val="nil"/>
              <w:left w:val="nil"/>
              <w:bottom w:val="single" w:sz="8" w:space="0" w:color="auto"/>
              <w:right w:val="single" w:sz="8" w:space="0" w:color="auto"/>
            </w:tcBorders>
            <w:shd w:val="clear" w:color="auto" w:fill="auto"/>
            <w:noWrap/>
            <w:vAlign w:val="center"/>
            <w:hideMark/>
          </w:tcPr>
          <w:p w14:paraId="67A7BE3F"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30.1</w:t>
            </w:r>
          </w:p>
        </w:tc>
        <w:tc>
          <w:tcPr>
            <w:tcW w:w="1000" w:type="pct"/>
            <w:tcBorders>
              <w:top w:val="nil"/>
              <w:left w:val="nil"/>
              <w:bottom w:val="single" w:sz="8" w:space="0" w:color="auto"/>
              <w:right w:val="single" w:sz="8" w:space="0" w:color="auto"/>
            </w:tcBorders>
            <w:shd w:val="clear" w:color="000000" w:fill="0D0D0D"/>
            <w:vAlign w:val="center"/>
            <w:hideMark/>
          </w:tcPr>
          <w:p w14:paraId="293A65DB" w14:textId="77777777" w:rsidR="00276C70" w:rsidRPr="00276C70" w:rsidRDefault="00276C70" w:rsidP="00D73374">
            <w:pPr>
              <w:spacing w:line="276" w:lineRule="auto"/>
              <w:jc w:val="center"/>
              <w:rPr>
                <w:rFonts w:ascii="Calibri" w:eastAsia="Times New Roman" w:hAnsi="Calibri" w:cs="Calibri"/>
                <w:color w:val="808080"/>
                <w:lang w:eastAsia="en-GB"/>
              </w:rPr>
            </w:pPr>
            <w:r w:rsidRPr="00276C70">
              <w:rPr>
                <w:rFonts w:ascii="Calibri" w:eastAsia="Times New Roman" w:hAnsi="Calibri" w:cs="Calibri"/>
                <w:color w:val="808080"/>
                <w:lang w:eastAsia="en-GB"/>
              </w:rPr>
              <w:t> </w:t>
            </w:r>
          </w:p>
        </w:tc>
        <w:tc>
          <w:tcPr>
            <w:tcW w:w="1000" w:type="pct"/>
            <w:tcBorders>
              <w:top w:val="nil"/>
              <w:left w:val="nil"/>
              <w:bottom w:val="single" w:sz="8" w:space="0" w:color="auto"/>
              <w:right w:val="single" w:sz="8" w:space="0" w:color="auto"/>
            </w:tcBorders>
            <w:shd w:val="clear" w:color="000000" w:fill="0D0D0D"/>
            <w:vAlign w:val="center"/>
            <w:hideMark/>
          </w:tcPr>
          <w:p w14:paraId="40625CC6" w14:textId="77777777" w:rsidR="00276C70" w:rsidRPr="00276C70" w:rsidRDefault="00276C70" w:rsidP="00D73374">
            <w:pPr>
              <w:spacing w:line="276" w:lineRule="auto"/>
              <w:jc w:val="center"/>
              <w:rPr>
                <w:rFonts w:ascii="Calibri" w:eastAsia="Times New Roman" w:hAnsi="Calibri" w:cs="Calibri"/>
                <w:color w:val="808080"/>
                <w:lang w:eastAsia="en-GB"/>
              </w:rPr>
            </w:pPr>
            <w:r w:rsidRPr="00276C70">
              <w:rPr>
                <w:rFonts w:ascii="Calibri" w:eastAsia="Times New Roman" w:hAnsi="Calibri" w:cs="Calibri"/>
                <w:color w:val="808080"/>
                <w:lang w:eastAsia="en-GB"/>
              </w:rPr>
              <w:t> </w:t>
            </w:r>
          </w:p>
        </w:tc>
      </w:tr>
      <w:tr w:rsidR="00276C70" w:rsidRPr="00276C70" w14:paraId="7CD39C63" w14:textId="77777777" w:rsidTr="00631DFE">
        <w:trPr>
          <w:trHeight w:val="315"/>
        </w:trPr>
        <w:tc>
          <w:tcPr>
            <w:tcW w:w="1000" w:type="pct"/>
            <w:tcBorders>
              <w:top w:val="nil"/>
              <w:left w:val="single" w:sz="8" w:space="0" w:color="auto"/>
              <w:bottom w:val="single" w:sz="8" w:space="0" w:color="auto"/>
              <w:right w:val="single" w:sz="8" w:space="0" w:color="auto"/>
            </w:tcBorders>
            <w:shd w:val="clear" w:color="000000" w:fill="FFFFFF"/>
            <w:noWrap/>
            <w:vAlign w:val="center"/>
            <w:hideMark/>
          </w:tcPr>
          <w:p w14:paraId="16C0786A" w14:textId="77777777" w:rsidR="00276C70" w:rsidRPr="00276C70" w:rsidRDefault="00276C70" w:rsidP="00D73374">
            <w:pPr>
              <w:spacing w:line="276" w:lineRule="auto"/>
              <w:rPr>
                <w:rFonts w:ascii="Calibri" w:eastAsia="Times New Roman" w:hAnsi="Calibri" w:cs="Calibri"/>
                <w:color w:val="000000"/>
                <w:lang w:eastAsia="en-GB"/>
              </w:rPr>
            </w:pPr>
            <w:r w:rsidRPr="00276C70">
              <w:rPr>
                <w:rFonts w:ascii="Calibri" w:eastAsia="Times New Roman" w:hAnsi="Calibri" w:cs="Calibri"/>
                <w:color w:val="000000"/>
                <w:lang w:eastAsia="en-GB"/>
              </w:rPr>
              <w:t>2017</w:t>
            </w:r>
          </w:p>
        </w:tc>
        <w:tc>
          <w:tcPr>
            <w:tcW w:w="1000" w:type="pct"/>
            <w:tcBorders>
              <w:top w:val="nil"/>
              <w:left w:val="nil"/>
              <w:bottom w:val="single" w:sz="8" w:space="0" w:color="auto"/>
              <w:right w:val="single" w:sz="8" w:space="0" w:color="auto"/>
            </w:tcBorders>
            <w:shd w:val="clear" w:color="auto" w:fill="auto"/>
            <w:noWrap/>
            <w:vAlign w:val="center"/>
            <w:hideMark/>
          </w:tcPr>
          <w:p w14:paraId="70D84A9A"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51.7</w:t>
            </w:r>
          </w:p>
        </w:tc>
        <w:tc>
          <w:tcPr>
            <w:tcW w:w="1000" w:type="pct"/>
            <w:tcBorders>
              <w:top w:val="nil"/>
              <w:left w:val="nil"/>
              <w:bottom w:val="single" w:sz="8" w:space="0" w:color="auto"/>
              <w:right w:val="single" w:sz="8" w:space="0" w:color="auto"/>
            </w:tcBorders>
            <w:shd w:val="clear" w:color="auto" w:fill="auto"/>
            <w:noWrap/>
            <w:vAlign w:val="center"/>
            <w:hideMark/>
          </w:tcPr>
          <w:p w14:paraId="34B2FCD1"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30.2</w:t>
            </w:r>
          </w:p>
        </w:tc>
        <w:tc>
          <w:tcPr>
            <w:tcW w:w="1000" w:type="pct"/>
            <w:tcBorders>
              <w:top w:val="nil"/>
              <w:left w:val="nil"/>
              <w:bottom w:val="single" w:sz="8" w:space="0" w:color="auto"/>
              <w:right w:val="single" w:sz="8" w:space="0" w:color="auto"/>
            </w:tcBorders>
            <w:shd w:val="clear" w:color="000000" w:fill="F2F2F2"/>
            <w:vAlign w:val="center"/>
            <w:hideMark/>
          </w:tcPr>
          <w:p w14:paraId="5199B5F7" w14:textId="77777777" w:rsidR="00276C70" w:rsidRPr="00276C70" w:rsidRDefault="00276C70" w:rsidP="00D73374">
            <w:pPr>
              <w:spacing w:line="276" w:lineRule="auto"/>
              <w:jc w:val="center"/>
              <w:rPr>
                <w:rFonts w:ascii="Calibri" w:eastAsia="Times New Roman" w:hAnsi="Calibri" w:cs="Calibri"/>
                <w:color w:val="808080"/>
                <w:lang w:eastAsia="en-GB"/>
              </w:rPr>
            </w:pPr>
            <w:r w:rsidRPr="00276C70">
              <w:rPr>
                <w:rFonts w:ascii="Calibri" w:eastAsia="Times New Roman" w:hAnsi="Calibri" w:cs="Calibri"/>
                <w:color w:val="808080"/>
                <w:lang w:eastAsia="en-GB"/>
              </w:rPr>
              <w:t>22.5</w:t>
            </w:r>
          </w:p>
        </w:tc>
        <w:tc>
          <w:tcPr>
            <w:tcW w:w="1000" w:type="pct"/>
            <w:tcBorders>
              <w:top w:val="nil"/>
              <w:left w:val="nil"/>
              <w:bottom w:val="single" w:sz="8" w:space="0" w:color="auto"/>
              <w:right w:val="single" w:sz="8" w:space="0" w:color="auto"/>
            </w:tcBorders>
            <w:shd w:val="clear" w:color="000000" w:fill="F2F2F2"/>
            <w:vAlign w:val="center"/>
            <w:hideMark/>
          </w:tcPr>
          <w:p w14:paraId="10E6AEFB" w14:textId="77777777" w:rsidR="00276C70" w:rsidRPr="00276C70" w:rsidRDefault="00276C70" w:rsidP="00D73374">
            <w:pPr>
              <w:spacing w:line="276" w:lineRule="auto"/>
              <w:jc w:val="center"/>
              <w:rPr>
                <w:rFonts w:ascii="Calibri" w:eastAsia="Times New Roman" w:hAnsi="Calibri" w:cs="Calibri"/>
                <w:color w:val="808080"/>
                <w:lang w:eastAsia="en-GB"/>
              </w:rPr>
            </w:pPr>
            <w:r w:rsidRPr="00276C70">
              <w:rPr>
                <w:rFonts w:ascii="Calibri" w:eastAsia="Times New Roman" w:hAnsi="Calibri" w:cs="Calibri"/>
                <w:color w:val="808080"/>
                <w:lang w:eastAsia="en-GB"/>
              </w:rPr>
              <w:t>25.85</w:t>
            </w:r>
          </w:p>
        </w:tc>
      </w:tr>
      <w:tr w:rsidR="00276C70" w:rsidRPr="00276C70" w14:paraId="49332B8B" w14:textId="77777777" w:rsidTr="00AA3D8B">
        <w:trPr>
          <w:trHeight w:val="315"/>
        </w:trPr>
        <w:tc>
          <w:tcPr>
            <w:tcW w:w="1000" w:type="pct"/>
            <w:tcBorders>
              <w:top w:val="nil"/>
              <w:left w:val="single" w:sz="8" w:space="0" w:color="auto"/>
              <w:bottom w:val="single" w:sz="8" w:space="0" w:color="auto"/>
              <w:right w:val="single" w:sz="8" w:space="0" w:color="auto"/>
            </w:tcBorders>
            <w:shd w:val="clear" w:color="000000" w:fill="FFFFFF"/>
            <w:noWrap/>
            <w:vAlign w:val="center"/>
            <w:hideMark/>
          </w:tcPr>
          <w:p w14:paraId="5D236D8F" w14:textId="77777777" w:rsidR="00276C70" w:rsidRPr="00276C70" w:rsidRDefault="00276C70" w:rsidP="00D73374">
            <w:pPr>
              <w:spacing w:line="276" w:lineRule="auto"/>
              <w:rPr>
                <w:rFonts w:ascii="Calibri" w:eastAsia="Times New Roman" w:hAnsi="Calibri" w:cs="Calibri"/>
                <w:color w:val="000000"/>
                <w:lang w:eastAsia="en-GB"/>
              </w:rPr>
            </w:pPr>
            <w:r w:rsidRPr="00276C70">
              <w:rPr>
                <w:rFonts w:ascii="Calibri" w:eastAsia="Times New Roman" w:hAnsi="Calibri" w:cs="Calibri"/>
                <w:color w:val="000000"/>
                <w:lang w:eastAsia="en-GB"/>
              </w:rPr>
              <w:t>2018</w:t>
            </w:r>
          </w:p>
        </w:tc>
        <w:tc>
          <w:tcPr>
            <w:tcW w:w="1000" w:type="pct"/>
            <w:tcBorders>
              <w:top w:val="nil"/>
              <w:left w:val="nil"/>
              <w:bottom w:val="single" w:sz="8" w:space="0" w:color="auto"/>
              <w:right w:val="single" w:sz="8" w:space="0" w:color="auto"/>
            </w:tcBorders>
            <w:shd w:val="clear" w:color="auto" w:fill="auto"/>
            <w:noWrap/>
            <w:vAlign w:val="center"/>
            <w:hideMark/>
          </w:tcPr>
          <w:p w14:paraId="332F00DC"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53.3</w:t>
            </w:r>
          </w:p>
        </w:tc>
        <w:tc>
          <w:tcPr>
            <w:tcW w:w="1000" w:type="pct"/>
            <w:tcBorders>
              <w:top w:val="nil"/>
              <w:left w:val="nil"/>
              <w:bottom w:val="single" w:sz="8" w:space="0" w:color="auto"/>
              <w:right w:val="single" w:sz="8" w:space="0" w:color="auto"/>
            </w:tcBorders>
            <w:shd w:val="clear" w:color="auto" w:fill="auto"/>
            <w:noWrap/>
            <w:vAlign w:val="center"/>
            <w:hideMark/>
          </w:tcPr>
          <w:p w14:paraId="2D40BFB4"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31.4</w:t>
            </w:r>
          </w:p>
        </w:tc>
        <w:tc>
          <w:tcPr>
            <w:tcW w:w="1000" w:type="pct"/>
            <w:tcBorders>
              <w:top w:val="nil"/>
              <w:left w:val="nil"/>
              <w:bottom w:val="single" w:sz="8" w:space="0" w:color="auto"/>
              <w:right w:val="single" w:sz="8" w:space="0" w:color="auto"/>
            </w:tcBorders>
            <w:shd w:val="clear" w:color="000000" w:fill="F2F2F2"/>
            <w:vAlign w:val="center"/>
            <w:hideMark/>
          </w:tcPr>
          <w:p w14:paraId="280736AE" w14:textId="77777777" w:rsidR="00276C70" w:rsidRPr="00276C70" w:rsidRDefault="00276C70" w:rsidP="00D73374">
            <w:pPr>
              <w:spacing w:line="276" w:lineRule="auto"/>
              <w:jc w:val="center"/>
              <w:rPr>
                <w:rFonts w:ascii="Calibri" w:eastAsia="Times New Roman" w:hAnsi="Calibri" w:cs="Calibri"/>
                <w:color w:val="808080"/>
                <w:lang w:eastAsia="en-GB"/>
              </w:rPr>
            </w:pPr>
            <w:r w:rsidRPr="00276C70">
              <w:rPr>
                <w:rFonts w:ascii="Calibri" w:eastAsia="Times New Roman" w:hAnsi="Calibri" w:cs="Calibri"/>
                <w:color w:val="808080"/>
                <w:lang w:eastAsia="en-GB"/>
              </w:rPr>
              <w:t>23.2</w:t>
            </w:r>
          </w:p>
        </w:tc>
        <w:tc>
          <w:tcPr>
            <w:tcW w:w="1000" w:type="pct"/>
            <w:tcBorders>
              <w:top w:val="nil"/>
              <w:left w:val="nil"/>
              <w:bottom w:val="single" w:sz="8" w:space="0" w:color="auto"/>
              <w:right w:val="single" w:sz="8" w:space="0" w:color="auto"/>
            </w:tcBorders>
            <w:shd w:val="clear" w:color="000000" w:fill="F2F2F2"/>
            <w:vAlign w:val="center"/>
            <w:hideMark/>
          </w:tcPr>
          <w:p w14:paraId="37C98655" w14:textId="77777777" w:rsidR="00276C70" w:rsidRPr="00276C70" w:rsidRDefault="00276C70" w:rsidP="00D73374">
            <w:pPr>
              <w:spacing w:line="276" w:lineRule="auto"/>
              <w:jc w:val="center"/>
              <w:rPr>
                <w:rFonts w:ascii="Calibri" w:eastAsia="Times New Roman" w:hAnsi="Calibri" w:cs="Calibri"/>
                <w:color w:val="808080"/>
                <w:lang w:eastAsia="en-GB"/>
              </w:rPr>
            </w:pPr>
            <w:r w:rsidRPr="00276C70">
              <w:rPr>
                <w:rFonts w:ascii="Calibri" w:eastAsia="Times New Roman" w:hAnsi="Calibri" w:cs="Calibri"/>
                <w:color w:val="808080"/>
                <w:lang w:eastAsia="en-GB"/>
              </w:rPr>
              <w:t>26.65</w:t>
            </w:r>
          </w:p>
        </w:tc>
      </w:tr>
      <w:tr w:rsidR="00276C70" w:rsidRPr="00276C70" w14:paraId="42060A51" w14:textId="77777777" w:rsidTr="00AA3D8B">
        <w:trPr>
          <w:trHeight w:val="315"/>
        </w:trPr>
        <w:tc>
          <w:tcPr>
            <w:tcW w:w="1000" w:type="pct"/>
            <w:tcBorders>
              <w:top w:val="nil"/>
              <w:left w:val="single" w:sz="8" w:space="0" w:color="auto"/>
              <w:bottom w:val="single" w:sz="4" w:space="0" w:color="auto"/>
              <w:right w:val="single" w:sz="8" w:space="0" w:color="auto"/>
            </w:tcBorders>
            <w:shd w:val="clear" w:color="000000" w:fill="FFFFFF"/>
            <w:noWrap/>
            <w:vAlign w:val="center"/>
            <w:hideMark/>
          </w:tcPr>
          <w:p w14:paraId="4B1A43F8" w14:textId="77777777" w:rsidR="00276C70" w:rsidRPr="00276C70" w:rsidRDefault="00276C70" w:rsidP="00D73374">
            <w:pPr>
              <w:spacing w:line="276" w:lineRule="auto"/>
              <w:rPr>
                <w:rFonts w:ascii="Calibri" w:eastAsia="Times New Roman" w:hAnsi="Calibri" w:cs="Calibri"/>
                <w:color w:val="000000"/>
                <w:lang w:eastAsia="en-GB"/>
              </w:rPr>
            </w:pPr>
            <w:r w:rsidRPr="00276C70">
              <w:rPr>
                <w:rFonts w:ascii="Calibri" w:eastAsia="Times New Roman" w:hAnsi="Calibri" w:cs="Calibri"/>
                <w:color w:val="000000"/>
                <w:lang w:eastAsia="en-GB"/>
              </w:rPr>
              <w:t>2019</w:t>
            </w:r>
          </w:p>
        </w:tc>
        <w:tc>
          <w:tcPr>
            <w:tcW w:w="1000" w:type="pct"/>
            <w:tcBorders>
              <w:top w:val="nil"/>
              <w:left w:val="nil"/>
              <w:bottom w:val="single" w:sz="4" w:space="0" w:color="auto"/>
              <w:right w:val="single" w:sz="8" w:space="0" w:color="auto"/>
            </w:tcBorders>
            <w:shd w:val="clear" w:color="000000" w:fill="BFBFBF"/>
            <w:noWrap/>
            <w:vAlign w:val="center"/>
            <w:hideMark/>
          </w:tcPr>
          <w:p w14:paraId="49AE5E14"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 </w:t>
            </w:r>
          </w:p>
        </w:tc>
        <w:tc>
          <w:tcPr>
            <w:tcW w:w="1000" w:type="pct"/>
            <w:tcBorders>
              <w:top w:val="nil"/>
              <w:left w:val="nil"/>
              <w:bottom w:val="single" w:sz="4" w:space="0" w:color="auto"/>
              <w:right w:val="single" w:sz="8" w:space="0" w:color="auto"/>
            </w:tcBorders>
            <w:shd w:val="clear" w:color="000000" w:fill="BFBFBF"/>
            <w:noWrap/>
            <w:vAlign w:val="center"/>
            <w:hideMark/>
          </w:tcPr>
          <w:p w14:paraId="415C0F11"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 </w:t>
            </w:r>
          </w:p>
        </w:tc>
        <w:tc>
          <w:tcPr>
            <w:tcW w:w="1000" w:type="pct"/>
            <w:tcBorders>
              <w:top w:val="nil"/>
              <w:left w:val="nil"/>
              <w:bottom w:val="single" w:sz="4" w:space="0" w:color="auto"/>
              <w:right w:val="single" w:sz="8" w:space="0" w:color="auto"/>
            </w:tcBorders>
            <w:shd w:val="clear" w:color="000000" w:fill="BFBFBF"/>
            <w:vAlign w:val="center"/>
            <w:hideMark/>
          </w:tcPr>
          <w:p w14:paraId="03BAC4F0"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 </w:t>
            </w:r>
          </w:p>
        </w:tc>
        <w:tc>
          <w:tcPr>
            <w:tcW w:w="1000" w:type="pct"/>
            <w:tcBorders>
              <w:top w:val="nil"/>
              <w:left w:val="nil"/>
              <w:bottom w:val="single" w:sz="4" w:space="0" w:color="auto"/>
              <w:right w:val="single" w:sz="8" w:space="0" w:color="auto"/>
            </w:tcBorders>
            <w:shd w:val="clear" w:color="000000" w:fill="BFBFBF"/>
            <w:vAlign w:val="center"/>
            <w:hideMark/>
          </w:tcPr>
          <w:p w14:paraId="2F21E2C9"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 </w:t>
            </w:r>
          </w:p>
        </w:tc>
      </w:tr>
      <w:tr w:rsidR="00276C70" w:rsidRPr="00276C70" w14:paraId="4C5EC85D" w14:textId="77777777" w:rsidTr="00AA3D8B">
        <w:trPr>
          <w:trHeight w:val="315"/>
        </w:trPr>
        <w:tc>
          <w:tcPr>
            <w:tcW w:w="10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6A255" w14:textId="77777777" w:rsidR="00276C70" w:rsidRPr="00276C70" w:rsidRDefault="00276C70" w:rsidP="00D73374">
            <w:pPr>
              <w:spacing w:line="276" w:lineRule="auto"/>
              <w:rPr>
                <w:rFonts w:ascii="Calibri" w:eastAsia="Times New Roman" w:hAnsi="Calibri" w:cs="Calibri"/>
                <w:color w:val="000000"/>
                <w:lang w:eastAsia="en-GB"/>
              </w:rPr>
            </w:pPr>
            <w:r w:rsidRPr="00276C70">
              <w:rPr>
                <w:rFonts w:ascii="Calibri" w:eastAsia="Times New Roman" w:hAnsi="Calibri" w:cs="Calibri"/>
                <w:color w:val="000000"/>
                <w:lang w:eastAsia="en-GB"/>
              </w:rPr>
              <w:t>2020</w:t>
            </w:r>
          </w:p>
        </w:tc>
        <w:tc>
          <w:tcPr>
            <w:tcW w:w="10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4EA012" w14:textId="77777777" w:rsidR="00276C70" w:rsidRPr="00276C70" w:rsidRDefault="00276C70" w:rsidP="00D73374">
            <w:pPr>
              <w:spacing w:line="276" w:lineRule="auto"/>
              <w:jc w:val="center"/>
              <w:rPr>
                <w:rFonts w:ascii="Calibri" w:eastAsia="Times New Roman" w:hAnsi="Calibri" w:cs="Calibri"/>
                <w:color w:val="000000"/>
                <w:lang w:eastAsia="en-GB"/>
              </w:rPr>
            </w:pPr>
            <w:r w:rsidRPr="00276C70">
              <w:rPr>
                <w:rFonts w:ascii="Calibri" w:eastAsia="Times New Roman" w:hAnsi="Calibri" w:cs="Calibri"/>
                <w:color w:val="000000"/>
                <w:lang w:eastAsia="en-GB"/>
              </w:rPr>
              <w:t>48.9</w:t>
            </w:r>
          </w:p>
        </w:tc>
        <w:tc>
          <w:tcPr>
            <w:tcW w:w="10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FC2DB" w14:textId="77777777" w:rsidR="00276C70" w:rsidRPr="00BB0A0A" w:rsidRDefault="00276C70" w:rsidP="00D73374">
            <w:pPr>
              <w:spacing w:line="276" w:lineRule="auto"/>
              <w:jc w:val="center"/>
              <w:rPr>
                <w:rFonts w:ascii="Calibri" w:eastAsia="Times New Roman" w:hAnsi="Calibri" w:cs="Calibri"/>
                <w:color w:val="000000"/>
                <w:lang w:eastAsia="en-GB"/>
              </w:rPr>
            </w:pPr>
            <w:r w:rsidRPr="00BB0A0A">
              <w:rPr>
                <w:rFonts w:ascii="Calibri" w:eastAsia="Times New Roman" w:hAnsi="Calibri" w:cs="Calibri"/>
                <w:color w:val="000000"/>
                <w:lang w:eastAsia="en-GB"/>
              </w:rPr>
              <w:t>26.9</w:t>
            </w:r>
          </w:p>
        </w:tc>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C3302F" w14:textId="77777777" w:rsidR="00276C70" w:rsidRPr="00D2027C" w:rsidRDefault="00276C70" w:rsidP="00D73374">
            <w:pPr>
              <w:spacing w:line="276" w:lineRule="auto"/>
              <w:jc w:val="center"/>
              <w:rPr>
                <w:rFonts w:ascii="Calibri" w:eastAsia="Times New Roman" w:hAnsi="Calibri" w:cs="Calibri"/>
                <w:color w:val="808080"/>
                <w:lang w:eastAsia="en-GB"/>
              </w:rPr>
            </w:pPr>
            <w:r w:rsidRPr="00D2027C">
              <w:rPr>
                <w:rFonts w:ascii="Calibri" w:eastAsia="Times New Roman" w:hAnsi="Calibri" w:cs="Calibri"/>
                <w:color w:val="808080"/>
                <w:lang w:eastAsia="en-GB"/>
              </w:rPr>
              <w:t>21.6</w:t>
            </w:r>
          </w:p>
        </w:tc>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1C791A" w14:textId="77777777" w:rsidR="00276C70" w:rsidRPr="00BB0A0A" w:rsidRDefault="00276C70" w:rsidP="00D73374">
            <w:pPr>
              <w:spacing w:line="276" w:lineRule="auto"/>
              <w:jc w:val="center"/>
              <w:rPr>
                <w:rFonts w:ascii="Calibri" w:eastAsia="Times New Roman" w:hAnsi="Calibri" w:cs="Calibri"/>
                <w:color w:val="000000"/>
                <w:lang w:eastAsia="en-GB"/>
              </w:rPr>
            </w:pPr>
            <w:r w:rsidRPr="00BB0A0A">
              <w:rPr>
                <w:rFonts w:ascii="Calibri" w:eastAsia="Times New Roman" w:hAnsi="Calibri" w:cs="Calibri"/>
                <w:color w:val="000000"/>
                <w:lang w:eastAsia="en-GB"/>
              </w:rPr>
              <w:t>24.5</w:t>
            </w:r>
          </w:p>
        </w:tc>
      </w:tr>
      <w:tr w:rsidR="00BB0A0A" w:rsidRPr="00276C70" w14:paraId="493DC24B" w14:textId="77777777" w:rsidTr="004350B9">
        <w:trPr>
          <w:trHeight w:val="315"/>
        </w:trPr>
        <w:tc>
          <w:tcPr>
            <w:tcW w:w="100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D68813" w14:textId="356E036D" w:rsidR="00BB0A0A" w:rsidRPr="00276C70" w:rsidRDefault="00BB0A0A" w:rsidP="00D73374">
            <w:pPr>
              <w:spacing w:line="276" w:lineRule="auto"/>
              <w:rPr>
                <w:rFonts w:ascii="Calibri" w:eastAsia="Times New Roman" w:hAnsi="Calibri" w:cs="Calibri"/>
                <w:color w:val="000000"/>
                <w:lang w:eastAsia="en-GB"/>
              </w:rPr>
            </w:pPr>
            <w:r>
              <w:rPr>
                <w:rFonts w:ascii="Calibri" w:eastAsia="Times New Roman" w:hAnsi="Calibri" w:cs="Calibri"/>
                <w:color w:val="000000"/>
                <w:lang w:eastAsia="en-GB"/>
              </w:rPr>
              <w:t>2021</w:t>
            </w:r>
          </w:p>
        </w:tc>
        <w:tc>
          <w:tcPr>
            <w:tcW w:w="1000" w:type="pct"/>
            <w:tcBorders>
              <w:top w:val="single" w:sz="4" w:space="0" w:color="auto"/>
              <w:left w:val="single" w:sz="4" w:space="0" w:color="auto"/>
              <w:bottom w:val="single" w:sz="4" w:space="0" w:color="auto"/>
              <w:right w:val="single" w:sz="4" w:space="0" w:color="auto"/>
            </w:tcBorders>
            <w:shd w:val="clear" w:color="000000" w:fill="FFFFFF"/>
            <w:noWrap/>
          </w:tcPr>
          <w:p w14:paraId="3C2F0DDB" w14:textId="1967C86B" w:rsidR="00BB0A0A" w:rsidRPr="00276C70" w:rsidRDefault="00BB0A0A" w:rsidP="00D73374">
            <w:pPr>
              <w:spacing w:line="276" w:lineRule="auto"/>
              <w:jc w:val="center"/>
              <w:rPr>
                <w:rFonts w:ascii="Calibri" w:eastAsia="Times New Roman" w:hAnsi="Calibri" w:cs="Calibri"/>
                <w:color w:val="000000"/>
                <w:lang w:eastAsia="en-GB"/>
              </w:rPr>
            </w:pPr>
            <w:r w:rsidRPr="008D4D17">
              <w:t>44.00</w:t>
            </w:r>
          </w:p>
        </w:tc>
        <w:tc>
          <w:tcPr>
            <w:tcW w:w="1000" w:type="pct"/>
            <w:tcBorders>
              <w:top w:val="single" w:sz="4" w:space="0" w:color="auto"/>
              <w:left w:val="single" w:sz="4" w:space="0" w:color="auto"/>
              <w:bottom w:val="single" w:sz="4" w:space="0" w:color="auto"/>
              <w:right w:val="single" w:sz="4" w:space="0" w:color="auto"/>
            </w:tcBorders>
            <w:shd w:val="clear" w:color="000000" w:fill="FFFFFF"/>
            <w:noWrap/>
          </w:tcPr>
          <w:p w14:paraId="743352F0" w14:textId="3D8080AC" w:rsidR="00BB0A0A" w:rsidRPr="00276C70" w:rsidRDefault="00BB0A0A" w:rsidP="00D73374">
            <w:pPr>
              <w:spacing w:line="276" w:lineRule="auto"/>
              <w:jc w:val="center"/>
              <w:rPr>
                <w:rFonts w:ascii="Calibri" w:eastAsia="Times New Roman" w:hAnsi="Calibri" w:cs="Calibri"/>
                <w:b/>
                <w:color w:val="000000"/>
                <w:lang w:eastAsia="en-GB"/>
              </w:rPr>
            </w:pPr>
            <w:r w:rsidRPr="008D4D17">
              <w:t>21.57</w:t>
            </w:r>
          </w:p>
        </w:tc>
        <w:tc>
          <w:tcPr>
            <w:tcW w:w="1000" w:type="pct"/>
            <w:tcBorders>
              <w:top w:val="single" w:sz="4" w:space="0" w:color="auto"/>
              <w:left w:val="single" w:sz="4" w:space="0" w:color="auto"/>
              <w:bottom w:val="single" w:sz="4" w:space="0" w:color="auto"/>
              <w:right w:val="single" w:sz="4" w:space="0" w:color="auto"/>
            </w:tcBorders>
            <w:shd w:val="clear" w:color="000000" w:fill="FFFFFF"/>
          </w:tcPr>
          <w:p w14:paraId="7001ACDB" w14:textId="05D50B1F" w:rsidR="00BB0A0A" w:rsidRPr="00D2027C" w:rsidRDefault="00BB0A0A" w:rsidP="00D73374">
            <w:pPr>
              <w:spacing w:line="276" w:lineRule="auto"/>
              <w:jc w:val="center"/>
              <w:rPr>
                <w:rFonts w:ascii="Calibri" w:eastAsia="Times New Roman" w:hAnsi="Calibri" w:cs="Calibri"/>
                <w:color w:val="808080"/>
                <w:lang w:eastAsia="en-GB"/>
              </w:rPr>
            </w:pPr>
            <w:r w:rsidRPr="00D2027C">
              <w:rPr>
                <w:rFonts w:ascii="Calibri" w:eastAsia="Times New Roman" w:hAnsi="Calibri" w:cs="Calibri"/>
                <w:color w:val="808080"/>
                <w:lang w:eastAsia="en-GB"/>
              </w:rPr>
              <w:t>16.5</w:t>
            </w:r>
          </w:p>
        </w:tc>
        <w:tc>
          <w:tcPr>
            <w:tcW w:w="1000" w:type="pct"/>
            <w:tcBorders>
              <w:top w:val="single" w:sz="4" w:space="0" w:color="auto"/>
              <w:left w:val="single" w:sz="4" w:space="0" w:color="auto"/>
              <w:bottom w:val="single" w:sz="4" w:space="0" w:color="auto"/>
              <w:right w:val="single" w:sz="4" w:space="0" w:color="auto"/>
            </w:tcBorders>
            <w:shd w:val="clear" w:color="000000" w:fill="FFFFFF"/>
          </w:tcPr>
          <w:p w14:paraId="0B514E84" w14:textId="5918666C" w:rsidR="00BB0A0A" w:rsidRPr="00276C70" w:rsidRDefault="00BB0A0A" w:rsidP="00D73374">
            <w:pPr>
              <w:spacing w:line="276" w:lineRule="auto"/>
              <w:jc w:val="center"/>
              <w:rPr>
                <w:rFonts w:ascii="Calibri" w:eastAsia="Times New Roman" w:hAnsi="Calibri" w:cs="Calibri"/>
                <w:b/>
                <w:color w:val="000000"/>
                <w:lang w:eastAsia="en-GB"/>
              </w:rPr>
            </w:pPr>
            <w:r w:rsidRPr="008D4D17">
              <w:t>22</w:t>
            </w:r>
          </w:p>
        </w:tc>
      </w:tr>
      <w:tr w:rsidR="00264F3B" w:rsidRPr="00276C70" w14:paraId="66C4AFFC" w14:textId="77777777" w:rsidTr="000F1A85">
        <w:trPr>
          <w:trHeight w:val="315"/>
        </w:trPr>
        <w:tc>
          <w:tcPr>
            <w:tcW w:w="100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6A84AF" w14:textId="04CF8F80" w:rsidR="00264F3B" w:rsidRDefault="000A6367" w:rsidP="00D73374">
            <w:pPr>
              <w:spacing w:line="276" w:lineRule="auto"/>
              <w:rPr>
                <w:rFonts w:ascii="Calibri" w:eastAsia="Times New Roman" w:hAnsi="Calibri" w:cs="Calibri"/>
                <w:color w:val="000000"/>
                <w:lang w:eastAsia="en-GB"/>
              </w:rPr>
            </w:pPr>
            <w:r>
              <w:rPr>
                <w:rFonts w:ascii="Calibri" w:eastAsia="Times New Roman" w:hAnsi="Calibri" w:cs="Calibri"/>
                <w:color w:val="000000"/>
                <w:lang w:eastAsia="en-GB"/>
              </w:rPr>
              <w:t>202</w:t>
            </w:r>
            <w:r w:rsidR="000F1A85">
              <w:rPr>
                <w:rFonts w:ascii="Calibri" w:eastAsia="Times New Roman" w:hAnsi="Calibri" w:cs="Calibri"/>
                <w:color w:val="000000"/>
                <w:lang w:eastAsia="en-GB"/>
              </w:rPr>
              <w:t>2</w:t>
            </w:r>
          </w:p>
        </w:tc>
        <w:tc>
          <w:tcPr>
            <w:tcW w:w="1000" w:type="pct"/>
            <w:tcBorders>
              <w:top w:val="nil"/>
              <w:left w:val="nil"/>
              <w:bottom w:val="single" w:sz="4" w:space="0" w:color="auto"/>
              <w:right w:val="single" w:sz="8" w:space="0" w:color="auto"/>
            </w:tcBorders>
            <w:shd w:val="clear" w:color="000000" w:fill="FFFFFF"/>
            <w:noWrap/>
            <w:vAlign w:val="center"/>
          </w:tcPr>
          <w:p w14:paraId="2770F4AF" w14:textId="24CAAF48" w:rsidR="00264F3B" w:rsidRPr="008D4D17" w:rsidRDefault="00264F3B" w:rsidP="00D73374">
            <w:pPr>
              <w:spacing w:line="276" w:lineRule="auto"/>
              <w:jc w:val="center"/>
            </w:pPr>
            <w:r>
              <w:rPr>
                <w:rFonts w:ascii="Calibri" w:hAnsi="Calibri" w:cs="Calibri"/>
                <w:color w:val="000000"/>
              </w:rPr>
              <w:t>41.00</w:t>
            </w:r>
          </w:p>
        </w:tc>
        <w:tc>
          <w:tcPr>
            <w:tcW w:w="1000" w:type="pct"/>
            <w:tcBorders>
              <w:top w:val="nil"/>
              <w:left w:val="nil"/>
              <w:bottom w:val="single" w:sz="4" w:space="0" w:color="auto"/>
              <w:right w:val="single" w:sz="8" w:space="0" w:color="auto"/>
            </w:tcBorders>
            <w:shd w:val="clear" w:color="000000" w:fill="FFFFFF"/>
            <w:noWrap/>
            <w:vAlign w:val="center"/>
          </w:tcPr>
          <w:p w14:paraId="33679F83" w14:textId="0EB312E2" w:rsidR="00264F3B" w:rsidRPr="008D4D17" w:rsidRDefault="00264F3B" w:rsidP="00D73374">
            <w:pPr>
              <w:spacing w:line="276" w:lineRule="auto"/>
              <w:jc w:val="center"/>
            </w:pPr>
            <w:r>
              <w:rPr>
                <w:rFonts w:ascii="Calibri" w:hAnsi="Calibri" w:cs="Calibri"/>
                <w:color w:val="000000"/>
              </w:rPr>
              <w:t>18.55</w:t>
            </w:r>
          </w:p>
        </w:tc>
        <w:tc>
          <w:tcPr>
            <w:tcW w:w="1000" w:type="pct"/>
            <w:tcBorders>
              <w:top w:val="nil"/>
              <w:left w:val="nil"/>
              <w:bottom w:val="single" w:sz="4" w:space="0" w:color="auto"/>
              <w:right w:val="single" w:sz="8" w:space="0" w:color="auto"/>
            </w:tcBorders>
            <w:shd w:val="clear" w:color="000000" w:fill="FFFFFF"/>
            <w:vAlign w:val="center"/>
          </w:tcPr>
          <w:p w14:paraId="295F3870" w14:textId="06E824A6" w:rsidR="00264F3B" w:rsidRPr="00D2027C" w:rsidRDefault="00264F3B" w:rsidP="00D73374">
            <w:pPr>
              <w:spacing w:line="276" w:lineRule="auto"/>
              <w:jc w:val="center"/>
              <w:rPr>
                <w:rFonts w:ascii="Calibri" w:eastAsia="Times New Roman" w:hAnsi="Calibri" w:cs="Calibri"/>
                <w:color w:val="808080"/>
                <w:lang w:eastAsia="en-GB"/>
              </w:rPr>
            </w:pPr>
            <w:r>
              <w:rPr>
                <w:rFonts w:ascii="Calibri" w:hAnsi="Calibri" w:cs="Calibri"/>
                <w:color w:val="000000"/>
              </w:rPr>
              <w:t>15.38</w:t>
            </w:r>
          </w:p>
        </w:tc>
        <w:tc>
          <w:tcPr>
            <w:tcW w:w="1000" w:type="pct"/>
            <w:tcBorders>
              <w:top w:val="nil"/>
              <w:left w:val="nil"/>
              <w:bottom w:val="single" w:sz="4" w:space="0" w:color="auto"/>
              <w:right w:val="single" w:sz="8" w:space="0" w:color="auto"/>
            </w:tcBorders>
            <w:shd w:val="clear" w:color="000000" w:fill="FFFFFF"/>
            <w:vAlign w:val="center"/>
          </w:tcPr>
          <w:p w14:paraId="4504DDFB" w14:textId="12D29ECB" w:rsidR="00264F3B" w:rsidRPr="008D4D17" w:rsidRDefault="00264F3B" w:rsidP="00D73374">
            <w:pPr>
              <w:spacing w:line="276" w:lineRule="auto"/>
              <w:jc w:val="center"/>
            </w:pPr>
            <w:r>
              <w:rPr>
                <w:rFonts w:ascii="Calibri" w:hAnsi="Calibri" w:cs="Calibri"/>
                <w:color w:val="000000"/>
              </w:rPr>
              <w:t>20.5</w:t>
            </w:r>
          </w:p>
        </w:tc>
      </w:tr>
      <w:tr w:rsidR="000F1A85" w:rsidRPr="00276C70" w14:paraId="10A943CC" w14:textId="77777777" w:rsidTr="000F1A85">
        <w:trPr>
          <w:trHeight w:val="315"/>
        </w:trPr>
        <w:tc>
          <w:tcPr>
            <w:tcW w:w="100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7B17D7" w14:textId="3532D3BE" w:rsidR="000F1A85" w:rsidRDefault="00D4489C" w:rsidP="00D73374">
            <w:pPr>
              <w:spacing w:line="276" w:lineRule="auto"/>
              <w:rPr>
                <w:rFonts w:ascii="Calibri" w:eastAsia="Times New Roman" w:hAnsi="Calibri" w:cs="Calibri"/>
                <w:color w:val="000000"/>
                <w:lang w:eastAsia="en-GB"/>
              </w:rPr>
            </w:pPr>
            <w:r>
              <w:rPr>
                <w:rFonts w:ascii="Calibri" w:eastAsia="Times New Roman" w:hAnsi="Calibri" w:cs="Calibri"/>
                <w:color w:val="000000"/>
                <w:lang w:eastAsia="en-GB"/>
              </w:rPr>
              <w:t>2023</w:t>
            </w:r>
          </w:p>
        </w:tc>
        <w:tc>
          <w:tcPr>
            <w:tcW w:w="100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4E5857" w14:textId="01CE2093" w:rsidR="000F1A85" w:rsidRDefault="00043AD8" w:rsidP="00D73374">
            <w:pPr>
              <w:spacing w:line="276" w:lineRule="auto"/>
              <w:jc w:val="center"/>
              <w:rPr>
                <w:rFonts w:ascii="Calibri" w:hAnsi="Calibri" w:cs="Calibri"/>
                <w:color w:val="000000"/>
              </w:rPr>
            </w:pPr>
            <w:r>
              <w:rPr>
                <w:rFonts w:ascii="Calibri" w:hAnsi="Calibri" w:cs="Calibri"/>
                <w:color w:val="000000"/>
              </w:rPr>
              <w:t>61.8</w:t>
            </w:r>
          </w:p>
        </w:tc>
        <w:tc>
          <w:tcPr>
            <w:tcW w:w="100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9FD527" w14:textId="13E10B1E" w:rsidR="000F1A85" w:rsidRDefault="008A56C7" w:rsidP="00D73374">
            <w:pPr>
              <w:spacing w:line="276" w:lineRule="auto"/>
              <w:jc w:val="center"/>
              <w:rPr>
                <w:rFonts w:ascii="Calibri" w:hAnsi="Calibri" w:cs="Calibri"/>
                <w:color w:val="000000"/>
              </w:rPr>
            </w:pPr>
            <w:r>
              <w:rPr>
                <w:rFonts w:ascii="Calibri" w:hAnsi="Calibri" w:cs="Calibri"/>
                <w:color w:val="000000"/>
              </w:rPr>
              <w:t>26.1</w:t>
            </w:r>
          </w:p>
        </w:tc>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tcPr>
          <w:p w14:paraId="30C100F3" w14:textId="00734218" w:rsidR="000F1A85" w:rsidRDefault="008A56C7" w:rsidP="00D73374">
            <w:pPr>
              <w:spacing w:line="276" w:lineRule="auto"/>
              <w:jc w:val="center"/>
              <w:rPr>
                <w:rFonts w:ascii="Calibri" w:hAnsi="Calibri" w:cs="Calibri"/>
                <w:color w:val="000000"/>
              </w:rPr>
            </w:pPr>
            <w:r>
              <w:rPr>
                <w:rFonts w:ascii="Calibri" w:hAnsi="Calibri" w:cs="Calibri"/>
                <w:color w:val="000000"/>
              </w:rPr>
              <w:t>23.2</w:t>
            </w:r>
          </w:p>
        </w:tc>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tcPr>
          <w:p w14:paraId="774E4490" w14:textId="7AD8C229" w:rsidR="000F1A85" w:rsidRDefault="008A56C7" w:rsidP="00D73374">
            <w:pPr>
              <w:spacing w:line="276" w:lineRule="auto"/>
              <w:jc w:val="center"/>
              <w:rPr>
                <w:rFonts w:ascii="Calibri" w:hAnsi="Calibri" w:cs="Calibri"/>
                <w:color w:val="000000"/>
              </w:rPr>
            </w:pPr>
            <w:r>
              <w:rPr>
                <w:rFonts w:ascii="Calibri" w:hAnsi="Calibri" w:cs="Calibri"/>
                <w:color w:val="000000"/>
              </w:rPr>
              <w:t>30.9</w:t>
            </w:r>
          </w:p>
        </w:tc>
      </w:tr>
    </w:tbl>
    <w:p w14:paraId="6B398388" w14:textId="2E8EE689" w:rsidR="008F7F16" w:rsidRPr="00151B08" w:rsidRDefault="008218CF" w:rsidP="00D73374">
      <w:pPr>
        <w:pStyle w:val="Sub-heading"/>
        <w:spacing w:before="240" w:line="276" w:lineRule="auto"/>
        <w:jc w:val="left"/>
        <w:outlineLvl w:val="1"/>
        <w:rPr>
          <w:color w:val="auto"/>
          <w:sz w:val="22"/>
          <w:szCs w:val="22"/>
        </w:rPr>
      </w:pPr>
      <w:bookmarkStart w:id="38" w:name="_Toc198549807"/>
      <w:r w:rsidRPr="00151B08">
        <w:rPr>
          <w:color w:val="auto"/>
          <w:sz w:val="22"/>
          <w:szCs w:val="22"/>
        </w:rPr>
        <w:t xml:space="preserve">Table 8. </w:t>
      </w:r>
      <w:r w:rsidR="008F7F16" w:rsidRPr="00151B08">
        <w:rPr>
          <w:color w:val="auto"/>
          <w:sz w:val="22"/>
          <w:szCs w:val="22"/>
        </w:rPr>
        <w:t xml:space="preserve">New Permissions for Quarrying Crushed Rock Aggregate </w:t>
      </w:r>
      <w:r w:rsidR="000A6367" w:rsidRPr="00151B08">
        <w:rPr>
          <w:color w:val="auto"/>
          <w:sz w:val="22"/>
          <w:szCs w:val="22"/>
        </w:rPr>
        <w:t>202</w:t>
      </w:r>
      <w:r w:rsidR="003E5DAF" w:rsidRPr="00151B08">
        <w:rPr>
          <w:color w:val="auto"/>
          <w:sz w:val="22"/>
          <w:szCs w:val="22"/>
        </w:rPr>
        <w:t>3</w:t>
      </w:r>
      <w:bookmarkEnd w:id="38"/>
    </w:p>
    <w:tbl>
      <w:tblPr>
        <w:tblStyle w:val="TableGrid"/>
        <w:tblW w:w="9016" w:type="dxa"/>
        <w:tblLook w:val="04A0" w:firstRow="1" w:lastRow="0" w:firstColumn="1" w:lastColumn="0" w:noHBand="0" w:noVBand="1"/>
        <w:tblCaption w:val="New Permissions for Quarrying Crushed Rock Aggregate "/>
        <w:tblDescription w:val="New Permissions for Quarrying Crushed Rock Aggregate "/>
      </w:tblPr>
      <w:tblGrid>
        <w:gridCol w:w="1577"/>
        <w:gridCol w:w="2021"/>
        <w:gridCol w:w="1680"/>
        <w:gridCol w:w="2230"/>
        <w:gridCol w:w="1508"/>
      </w:tblGrid>
      <w:tr w:rsidR="00D465A7" w:rsidRPr="00D465A7" w14:paraId="6D7469C7" w14:textId="77777777" w:rsidTr="00997494">
        <w:trPr>
          <w:trHeight w:val="300"/>
        </w:trPr>
        <w:tc>
          <w:tcPr>
            <w:tcW w:w="1577" w:type="dxa"/>
            <w:hideMark/>
          </w:tcPr>
          <w:p w14:paraId="4629153A" w14:textId="77777777" w:rsidR="00D465A7" w:rsidRPr="00D465A7" w:rsidRDefault="00D465A7" w:rsidP="00D73374">
            <w:pPr>
              <w:spacing w:line="276" w:lineRule="auto"/>
              <w:rPr>
                <w:rFonts w:ascii="Calibri" w:eastAsia="Times New Roman" w:hAnsi="Calibri" w:cs="Calibri"/>
                <w:b/>
                <w:bCs/>
                <w:color w:val="000000"/>
                <w:lang w:eastAsia="en-GB"/>
              </w:rPr>
            </w:pPr>
            <w:r w:rsidRPr="00D465A7">
              <w:rPr>
                <w:rFonts w:ascii="Calibri" w:eastAsia="Times New Roman" w:hAnsi="Calibri" w:cs="Calibri"/>
                <w:b/>
                <w:bCs/>
                <w:color w:val="000000"/>
                <w:lang w:eastAsia="en-GB"/>
              </w:rPr>
              <w:t>Name</w:t>
            </w:r>
          </w:p>
        </w:tc>
        <w:tc>
          <w:tcPr>
            <w:tcW w:w="2021" w:type="dxa"/>
            <w:hideMark/>
          </w:tcPr>
          <w:p w14:paraId="31203BB8" w14:textId="77777777" w:rsidR="00D465A7" w:rsidRPr="00D465A7" w:rsidRDefault="00D465A7" w:rsidP="00D73374">
            <w:pPr>
              <w:spacing w:line="276" w:lineRule="auto"/>
              <w:rPr>
                <w:rFonts w:ascii="Calibri" w:eastAsia="Times New Roman" w:hAnsi="Calibri" w:cs="Calibri"/>
                <w:b/>
                <w:bCs/>
                <w:color w:val="000000"/>
                <w:lang w:eastAsia="en-GB"/>
              </w:rPr>
            </w:pPr>
            <w:r w:rsidRPr="00D465A7">
              <w:rPr>
                <w:rFonts w:ascii="Calibri" w:eastAsia="Times New Roman" w:hAnsi="Calibri" w:cs="Calibri"/>
                <w:b/>
                <w:bCs/>
                <w:color w:val="000000"/>
                <w:lang w:eastAsia="en-GB"/>
              </w:rPr>
              <w:t>Operator/Applicant</w:t>
            </w:r>
          </w:p>
        </w:tc>
        <w:tc>
          <w:tcPr>
            <w:tcW w:w="1680" w:type="dxa"/>
            <w:hideMark/>
          </w:tcPr>
          <w:p w14:paraId="3C9FE007" w14:textId="7D55ABB6" w:rsidR="00D465A7" w:rsidRPr="00D465A7" w:rsidRDefault="00405B62" w:rsidP="00D73374">
            <w:pPr>
              <w:spacing w:line="276" w:lineRule="auto"/>
              <w:rPr>
                <w:rFonts w:ascii="Calibri" w:eastAsia="Times New Roman" w:hAnsi="Calibri" w:cs="Calibri"/>
                <w:b/>
                <w:bCs/>
                <w:color w:val="000000"/>
                <w:lang w:eastAsia="en-GB"/>
              </w:rPr>
            </w:pPr>
            <w:r w:rsidRPr="00D465A7">
              <w:rPr>
                <w:rFonts w:ascii="Calibri" w:eastAsia="Times New Roman" w:hAnsi="Calibri" w:cs="Calibri"/>
                <w:b/>
                <w:bCs/>
                <w:color w:val="000000"/>
                <w:lang w:eastAsia="en-GB"/>
              </w:rPr>
              <w:t>App</w:t>
            </w:r>
            <w:r>
              <w:rPr>
                <w:rFonts w:ascii="Calibri" w:eastAsia="Times New Roman" w:hAnsi="Calibri" w:cs="Calibri"/>
                <w:b/>
                <w:bCs/>
                <w:color w:val="000000"/>
                <w:lang w:eastAsia="en-GB"/>
              </w:rPr>
              <w:t>lication</w:t>
            </w:r>
            <w:r w:rsidRPr="00D465A7">
              <w:rPr>
                <w:rFonts w:ascii="Calibri" w:eastAsia="Times New Roman" w:hAnsi="Calibri" w:cs="Calibri"/>
                <w:b/>
                <w:bCs/>
                <w:color w:val="000000"/>
                <w:lang w:eastAsia="en-GB"/>
              </w:rPr>
              <w:t xml:space="preserve"> Number</w:t>
            </w:r>
          </w:p>
        </w:tc>
        <w:tc>
          <w:tcPr>
            <w:tcW w:w="2230" w:type="dxa"/>
            <w:hideMark/>
          </w:tcPr>
          <w:p w14:paraId="5C6252BE" w14:textId="77777777" w:rsidR="00D465A7" w:rsidRPr="00D465A7" w:rsidRDefault="00D465A7" w:rsidP="00D73374">
            <w:pPr>
              <w:spacing w:line="276" w:lineRule="auto"/>
              <w:rPr>
                <w:rFonts w:ascii="Calibri" w:eastAsia="Times New Roman" w:hAnsi="Calibri" w:cs="Calibri"/>
                <w:b/>
                <w:bCs/>
                <w:color w:val="000000"/>
                <w:lang w:eastAsia="en-GB"/>
              </w:rPr>
            </w:pPr>
            <w:r w:rsidRPr="00D465A7">
              <w:rPr>
                <w:rFonts w:ascii="Calibri" w:eastAsia="Times New Roman" w:hAnsi="Calibri" w:cs="Calibri"/>
                <w:b/>
                <w:bCs/>
                <w:color w:val="000000"/>
                <w:lang w:eastAsia="en-GB"/>
              </w:rPr>
              <w:t>Details</w:t>
            </w:r>
          </w:p>
        </w:tc>
        <w:tc>
          <w:tcPr>
            <w:tcW w:w="1508" w:type="dxa"/>
            <w:hideMark/>
          </w:tcPr>
          <w:p w14:paraId="430D39EF" w14:textId="77777777" w:rsidR="00D465A7" w:rsidRPr="00D465A7" w:rsidRDefault="00D465A7" w:rsidP="00D73374">
            <w:pPr>
              <w:spacing w:line="276" w:lineRule="auto"/>
              <w:rPr>
                <w:rFonts w:ascii="Calibri" w:eastAsia="Times New Roman" w:hAnsi="Calibri" w:cs="Calibri"/>
                <w:b/>
                <w:bCs/>
                <w:color w:val="000000"/>
                <w:lang w:eastAsia="en-GB"/>
              </w:rPr>
            </w:pPr>
            <w:r w:rsidRPr="00D465A7">
              <w:rPr>
                <w:rFonts w:ascii="Calibri" w:eastAsia="Times New Roman" w:hAnsi="Calibri" w:cs="Calibri"/>
                <w:b/>
                <w:bCs/>
                <w:color w:val="000000"/>
                <w:lang w:eastAsia="en-GB"/>
              </w:rPr>
              <w:t>Notes</w:t>
            </w:r>
          </w:p>
        </w:tc>
      </w:tr>
      <w:tr w:rsidR="00D465A7" w:rsidRPr="00D465A7" w14:paraId="03D18C04" w14:textId="77777777" w:rsidTr="00997494">
        <w:trPr>
          <w:trHeight w:val="2100"/>
        </w:trPr>
        <w:tc>
          <w:tcPr>
            <w:tcW w:w="1577" w:type="dxa"/>
            <w:hideMark/>
          </w:tcPr>
          <w:p w14:paraId="260ADCF9" w14:textId="77777777" w:rsidR="00D465A7" w:rsidRPr="00D465A7" w:rsidRDefault="00D465A7" w:rsidP="00D73374">
            <w:pPr>
              <w:spacing w:line="276" w:lineRule="auto"/>
              <w:rPr>
                <w:rFonts w:ascii="Calibri" w:eastAsia="Times New Roman" w:hAnsi="Calibri" w:cs="Calibri"/>
                <w:lang w:eastAsia="en-GB"/>
              </w:rPr>
            </w:pPr>
            <w:r w:rsidRPr="00D465A7">
              <w:rPr>
                <w:rFonts w:ascii="Calibri" w:eastAsia="Times New Roman" w:hAnsi="Calibri" w:cs="Calibri"/>
                <w:lang w:eastAsia="en-GB"/>
              </w:rPr>
              <w:t>North Of Holme Hall Quarry</w:t>
            </w:r>
            <w:r w:rsidRPr="00D465A7">
              <w:rPr>
                <w:rFonts w:ascii="Calibri" w:eastAsia="Times New Roman" w:hAnsi="Calibri" w:cs="Calibri"/>
                <w:lang w:eastAsia="en-GB"/>
              </w:rPr>
              <w:br/>
              <w:t>Holme Hall Lane</w:t>
            </w:r>
            <w:r w:rsidRPr="00D465A7">
              <w:rPr>
                <w:rFonts w:ascii="Calibri" w:eastAsia="Times New Roman" w:hAnsi="Calibri" w:cs="Calibri"/>
                <w:lang w:eastAsia="en-GB"/>
              </w:rPr>
              <w:br/>
              <w:t xml:space="preserve">Stainton </w:t>
            </w:r>
            <w:r w:rsidRPr="00D465A7">
              <w:rPr>
                <w:rFonts w:ascii="Calibri" w:eastAsia="Times New Roman" w:hAnsi="Calibri" w:cs="Calibri"/>
                <w:lang w:eastAsia="en-GB"/>
              </w:rPr>
              <w:br/>
              <w:t>Doncaster</w:t>
            </w:r>
            <w:r w:rsidRPr="00D465A7">
              <w:rPr>
                <w:rFonts w:ascii="Calibri" w:eastAsia="Times New Roman" w:hAnsi="Calibri" w:cs="Calibri"/>
                <w:lang w:eastAsia="en-GB"/>
              </w:rPr>
              <w:br/>
              <w:t>DN12 1QB</w:t>
            </w:r>
          </w:p>
        </w:tc>
        <w:tc>
          <w:tcPr>
            <w:tcW w:w="2021" w:type="dxa"/>
            <w:hideMark/>
          </w:tcPr>
          <w:p w14:paraId="09CC02AB" w14:textId="77777777" w:rsidR="00D465A7" w:rsidRPr="00D465A7" w:rsidRDefault="00D465A7" w:rsidP="00D73374">
            <w:pPr>
              <w:spacing w:line="276" w:lineRule="auto"/>
              <w:rPr>
                <w:rFonts w:ascii="Calibri" w:eastAsia="Times New Roman" w:hAnsi="Calibri" w:cs="Calibri"/>
                <w:lang w:eastAsia="en-GB"/>
              </w:rPr>
            </w:pPr>
            <w:r w:rsidRPr="00D465A7">
              <w:rPr>
                <w:rFonts w:ascii="Calibri" w:eastAsia="Times New Roman" w:hAnsi="Calibri" w:cs="Calibri"/>
                <w:lang w:eastAsia="en-GB"/>
              </w:rPr>
              <w:t>Breedon Southern Ltd</w:t>
            </w:r>
          </w:p>
        </w:tc>
        <w:tc>
          <w:tcPr>
            <w:tcW w:w="1680" w:type="dxa"/>
            <w:hideMark/>
          </w:tcPr>
          <w:p w14:paraId="728F1529" w14:textId="77777777" w:rsidR="00D465A7" w:rsidRPr="00D465A7" w:rsidRDefault="00D465A7" w:rsidP="00D73374">
            <w:pPr>
              <w:spacing w:line="276" w:lineRule="auto"/>
              <w:rPr>
                <w:rFonts w:ascii="Calibri" w:eastAsia="Times New Roman" w:hAnsi="Calibri" w:cs="Calibri"/>
                <w:lang w:eastAsia="en-GB"/>
              </w:rPr>
            </w:pPr>
            <w:r w:rsidRPr="00D465A7">
              <w:rPr>
                <w:rFonts w:ascii="Calibri" w:eastAsia="Times New Roman" w:hAnsi="Calibri" w:cs="Calibri"/>
                <w:lang w:eastAsia="en-GB"/>
              </w:rPr>
              <w:t>21/00398/MINA</w:t>
            </w:r>
          </w:p>
        </w:tc>
        <w:tc>
          <w:tcPr>
            <w:tcW w:w="2230" w:type="dxa"/>
            <w:hideMark/>
          </w:tcPr>
          <w:p w14:paraId="762BCB30" w14:textId="77777777" w:rsidR="00D465A7" w:rsidRPr="00D465A7" w:rsidRDefault="00D465A7" w:rsidP="00D73374">
            <w:pPr>
              <w:spacing w:line="276" w:lineRule="auto"/>
              <w:rPr>
                <w:rFonts w:ascii="Calibri" w:eastAsia="Times New Roman" w:hAnsi="Calibri" w:cs="Calibri"/>
                <w:lang w:eastAsia="en-GB"/>
              </w:rPr>
            </w:pPr>
            <w:r w:rsidRPr="00D465A7">
              <w:rPr>
                <w:rFonts w:ascii="Calibri" w:eastAsia="Times New Roman" w:hAnsi="Calibri" w:cs="Calibri"/>
                <w:lang w:eastAsia="en-GB"/>
              </w:rPr>
              <w:t xml:space="preserve">Proposed northerly extension of the quarry workings into around 31.6ha of land to include mineral extraction; in-pit primary processing and transfer of mineral to plant site. Proposals also include creation of peripheral screen mounds, advance planting and progressive </w:t>
            </w:r>
          </w:p>
        </w:tc>
        <w:tc>
          <w:tcPr>
            <w:tcW w:w="1508" w:type="dxa"/>
            <w:hideMark/>
          </w:tcPr>
          <w:p w14:paraId="091EF60A" w14:textId="0FB36667" w:rsidR="00D465A7" w:rsidRPr="00D465A7" w:rsidRDefault="00D465A7" w:rsidP="00D73374">
            <w:pPr>
              <w:spacing w:line="276" w:lineRule="auto"/>
              <w:rPr>
                <w:rFonts w:ascii="Calibri" w:eastAsia="Times New Roman" w:hAnsi="Calibri" w:cs="Calibri"/>
                <w:color w:val="00B050"/>
                <w:lang w:eastAsia="en-GB"/>
              </w:rPr>
            </w:pPr>
            <w:r w:rsidRPr="00D465A7">
              <w:rPr>
                <w:rFonts w:ascii="Calibri" w:eastAsia="Times New Roman" w:hAnsi="Calibri" w:cs="Calibri"/>
                <w:color w:val="00B050"/>
                <w:lang w:eastAsia="en-GB"/>
              </w:rPr>
              <w:t xml:space="preserve">Approved </w:t>
            </w:r>
            <w:r w:rsidRPr="00D465A7">
              <w:rPr>
                <w:rFonts w:ascii="Calibri" w:eastAsia="Times New Roman" w:hAnsi="Calibri" w:cs="Calibri"/>
                <w:b/>
                <w:bCs/>
                <w:color w:val="00B050"/>
                <w:lang w:eastAsia="en-GB"/>
              </w:rPr>
              <w:t>3.10.2023.</w:t>
            </w:r>
            <w:r w:rsidRPr="00D465A7">
              <w:rPr>
                <w:rFonts w:ascii="Calibri" w:eastAsia="Times New Roman" w:hAnsi="Calibri" w:cs="Calibri"/>
                <w:color w:val="00B050"/>
                <w:lang w:eastAsia="en-GB"/>
              </w:rPr>
              <w:t xml:space="preserve"> Extraction 19 Mt crushed rock aggregate over 8 years at 2.4Mt annually. Completion including restoration 11.06.2035 </w:t>
            </w:r>
          </w:p>
        </w:tc>
      </w:tr>
    </w:tbl>
    <w:p w14:paraId="37AD358A" w14:textId="0BF7103B" w:rsidR="00CB25D7" w:rsidRPr="004D3B29" w:rsidRDefault="00573303" w:rsidP="00D73374">
      <w:pPr>
        <w:numPr>
          <w:ilvl w:val="0"/>
          <w:numId w:val="3"/>
        </w:numPr>
        <w:spacing w:before="240" w:after="200" w:line="276" w:lineRule="auto"/>
        <w:rPr>
          <w:rFonts w:ascii="Arial" w:eastAsia="Times New Roman" w:hAnsi="Arial" w:cs="Arial"/>
        </w:rPr>
      </w:pPr>
      <w:r>
        <w:rPr>
          <w:rFonts w:ascii="Arial" w:eastAsia="Times New Roman" w:hAnsi="Arial" w:cs="Arial"/>
        </w:rPr>
        <w:t xml:space="preserve">Holme Hall Quarry extension was approved in </w:t>
      </w:r>
      <w:r w:rsidR="005A3FF0">
        <w:rPr>
          <w:rFonts w:ascii="Arial" w:eastAsia="Times New Roman" w:hAnsi="Arial" w:cs="Arial"/>
        </w:rPr>
        <w:t xml:space="preserve">October 2023. </w:t>
      </w:r>
      <w:r w:rsidR="00302BFF" w:rsidRPr="00441195">
        <w:rPr>
          <w:rFonts w:ascii="Arial" w:eastAsia="Times New Roman" w:hAnsi="Arial" w:cs="Arial"/>
        </w:rPr>
        <w:t xml:space="preserve">The crushed rock landbank </w:t>
      </w:r>
      <w:r w:rsidR="005A3FF0">
        <w:rPr>
          <w:rFonts w:ascii="Arial" w:eastAsia="Times New Roman" w:hAnsi="Arial" w:cs="Arial"/>
        </w:rPr>
        <w:t xml:space="preserve">therefore </w:t>
      </w:r>
      <w:r w:rsidR="00302BFF" w:rsidRPr="00441195">
        <w:rPr>
          <w:rFonts w:ascii="Arial" w:eastAsia="Times New Roman" w:hAnsi="Arial" w:cs="Arial"/>
        </w:rPr>
        <w:t>increased due to a new extension consent at</w:t>
      </w:r>
      <w:r w:rsidR="0019345F">
        <w:rPr>
          <w:rFonts w:ascii="Arial" w:eastAsia="Times New Roman" w:hAnsi="Arial" w:cs="Arial"/>
        </w:rPr>
        <w:t xml:space="preserve"> this site. S</w:t>
      </w:r>
      <w:r w:rsidR="00441195" w:rsidRPr="00441195">
        <w:rPr>
          <w:rFonts w:ascii="Arial" w:eastAsia="Times New Roman" w:hAnsi="Arial" w:cs="Arial"/>
        </w:rPr>
        <w:t xml:space="preserve">ee </w:t>
      </w:r>
      <w:r w:rsidR="0099142B">
        <w:rPr>
          <w:rFonts w:ascii="Arial" w:eastAsia="Times New Roman" w:hAnsi="Arial" w:cs="Arial"/>
        </w:rPr>
        <w:t xml:space="preserve">table </w:t>
      </w:r>
      <w:r w:rsidR="00441195" w:rsidRPr="00441195">
        <w:rPr>
          <w:rFonts w:ascii="Arial" w:eastAsia="Times New Roman" w:hAnsi="Arial" w:cs="Arial"/>
        </w:rPr>
        <w:t>above</w:t>
      </w:r>
      <w:r w:rsidR="00302BFF" w:rsidRPr="00441195">
        <w:rPr>
          <w:rFonts w:ascii="Arial" w:eastAsia="Times New Roman" w:hAnsi="Arial" w:cs="Arial"/>
        </w:rPr>
        <w:t>.</w:t>
      </w:r>
    </w:p>
    <w:p w14:paraId="2395380B" w14:textId="77777777" w:rsidR="00CB25D7" w:rsidRPr="00C77303" w:rsidRDefault="00CB25D7" w:rsidP="00D73374">
      <w:pPr>
        <w:pStyle w:val="Sub-heading"/>
        <w:spacing w:before="240" w:after="240" w:line="276" w:lineRule="auto"/>
        <w:jc w:val="left"/>
        <w:outlineLvl w:val="1"/>
        <w:rPr>
          <w:color w:val="auto"/>
          <w:sz w:val="24"/>
          <w:szCs w:val="24"/>
        </w:rPr>
      </w:pPr>
      <w:bookmarkStart w:id="39" w:name="_Toc198549808"/>
      <w:r w:rsidRPr="00C77303">
        <w:rPr>
          <w:color w:val="auto"/>
          <w:sz w:val="24"/>
          <w:szCs w:val="24"/>
        </w:rPr>
        <w:t>Wharves and Rail Ports</w:t>
      </w:r>
      <w:bookmarkEnd w:id="39"/>
    </w:p>
    <w:p w14:paraId="068465A1" w14:textId="09F11EE7" w:rsidR="003C2650" w:rsidRDefault="003C2650" w:rsidP="00D73374">
      <w:pPr>
        <w:numPr>
          <w:ilvl w:val="0"/>
          <w:numId w:val="3"/>
        </w:numPr>
        <w:spacing w:before="240" w:after="200" w:line="276" w:lineRule="auto"/>
        <w:rPr>
          <w:rFonts w:ascii="Arial" w:eastAsia="Times New Roman" w:hAnsi="Arial" w:cs="Arial"/>
        </w:rPr>
      </w:pPr>
      <w:r>
        <w:rPr>
          <w:rFonts w:ascii="Arial" w:eastAsia="Times New Roman" w:hAnsi="Arial" w:cs="Arial"/>
        </w:rPr>
        <w:t xml:space="preserve">No change, please refer to </w:t>
      </w:r>
      <w:hyperlink r:id="rId19" w:history="1">
        <w:r w:rsidRPr="003C2650">
          <w:rPr>
            <w:rStyle w:val="Hyperlink"/>
            <w:rFonts w:ascii="Arial" w:eastAsia="Times New Roman" w:hAnsi="Arial" w:cs="Arial"/>
          </w:rPr>
          <w:t>2016 Local Aggregates Assessment</w:t>
        </w:r>
      </w:hyperlink>
      <w:r>
        <w:rPr>
          <w:rFonts w:ascii="Arial" w:eastAsia="Times New Roman" w:hAnsi="Arial" w:cs="Arial"/>
        </w:rPr>
        <w:t xml:space="preserve"> </w:t>
      </w:r>
      <w:r w:rsidR="00135F98">
        <w:rPr>
          <w:rFonts w:ascii="Arial" w:eastAsia="Times New Roman" w:hAnsi="Arial" w:cs="Arial"/>
        </w:rPr>
        <w:t xml:space="preserve">paragraphs </w:t>
      </w:r>
      <w:r w:rsidR="006731A3">
        <w:rPr>
          <w:rFonts w:ascii="Arial" w:eastAsia="Times New Roman" w:hAnsi="Arial" w:cs="Arial"/>
        </w:rPr>
        <w:t xml:space="preserve">31 </w:t>
      </w:r>
      <w:r w:rsidR="00135F98">
        <w:rPr>
          <w:rFonts w:ascii="Arial" w:eastAsia="Times New Roman" w:hAnsi="Arial" w:cs="Arial"/>
        </w:rPr>
        <w:t xml:space="preserve">to </w:t>
      </w:r>
      <w:r w:rsidR="00397884">
        <w:rPr>
          <w:rFonts w:ascii="Arial" w:eastAsia="Times New Roman" w:hAnsi="Arial" w:cs="Arial"/>
        </w:rPr>
        <w:t>33</w:t>
      </w:r>
      <w:r w:rsidR="00BB2921">
        <w:rPr>
          <w:rFonts w:ascii="Arial" w:eastAsia="Times New Roman" w:hAnsi="Arial" w:cs="Arial"/>
        </w:rPr>
        <w:t xml:space="preserve"> </w:t>
      </w:r>
      <w:r>
        <w:rPr>
          <w:rFonts w:ascii="Arial" w:eastAsia="Times New Roman" w:hAnsi="Arial" w:cs="Arial"/>
        </w:rPr>
        <w:t>for detail.</w:t>
      </w:r>
    </w:p>
    <w:p w14:paraId="7DED24F6" w14:textId="77C6E1D6" w:rsidR="003F04C8" w:rsidRDefault="003F04C8" w:rsidP="00D73374">
      <w:pPr>
        <w:pStyle w:val="Sub-heading"/>
        <w:spacing w:before="240" w:after="240" w:line="276" w:lineRule="auto"/>
        <w:jc w:val="left"/>
        <w:outlineLvl w:val="1"/>
        <w:rPr>
          <w:color w:val="auto"/>
          <w:sz w:val="24"/>
          <w:szCs w:val="24"/>
        </w:rPr>
      </w:pPr>
      <w:bookmarkStart w:id="40" w:name="_Toc198549809"/>
      <w:r w:rsidRPr="00C02AD6">
        <w:rPr>
          <w:color w:val="auto"/>
          <w:sz w:val="24"/>
          <w:szCs w:val="24"/>
        </w:rPr>
        <w:t>Security of Supply</w:t>
      </w:r>
      <w:bookmarkEnd w:id="40"/>
      <w:r>
        <w:rPr>
          <w:color w:val="auto"/>
          <w:sz w:val="24"/>
          <w:szCs w:val="24"/>
        </w:rPr>
        <w:t xml:space="preserve"> </w:t>
      </w:r>
      <w:r w:rsidR="00733F64">
        <w:rPr>
          <w:color w:val="auto"/>
          <w:sz w:val="24"/>
          <w:szCs w:val="24"/>
        </w:rPr>
        <w:t xml:space="preserve"> </w:t>
      </w:r>
    </w:p>
    <w:p w14:paraId="40431404" w14:textId="6C51136A" w:rsidR="00DD375E" w:rsidRPr="00D73374" w:rsidRDefault="00F32A3E" w:rsidP="00D73374">
      <w:pPr>
        <w:pStyle w:val="Sub-heading"/>
        <w:numPr>
          <w:ilvl w:val="0"/>
          <w:numId w:val="3"/>
        </w:numPr>
        <w:spacing w:before="240" w:after="240" w:line="276" w:lineRule="auto"/>
        <w:jc w:val="left"/>
        <w:rPr>
          <w:b w:val="0"/>
          <w:bCs/>
          <w:color w:val="auto"/>
          <w:sz w:val="22"/>
          <w:szCs w:val="22"/>
        </w:rPr>
      </w:pPr>
      <w:r w:rsidRPr="00D73374">
        <w:rPr>
          <w:b w:val="0"/>
          <w:bCs/>
          <w:color w:val="auto"/>
          <w:sz w:val="22"/>
          <w:szCs w:val="22"/>
        </w:rPr>
        <w:t>The</w:t>
      </w:r>
      <w:r w:rsidR="00D44A25" w:rsidRPr="00D73374">
        <w:rPr>
          <w:b w:val="0"/>
          <w:bCs/>
          <w:color w:val="auto"/>
          <w:sz w:val="22"/>
          <w:szCs w:val="22"/>
        </w:rPr>
        <w:t xml:space="preserve"> reserve and</w:t>
      </w:r>
      <w:r w:rsidRPr="00D73374">
        <w:rPr>
          <w:b w:val="0"/>
          <w:bCs/>
          <w:color w:val="auto"/>
          <w:sz w:val="22"/>
          <w:szCs w:val="22"/>
        </w:rPr>
        <w:t xml:space="preserve"> landbank is one of the indicators for security of supply. </w:t>
      </w:r>
      <w:r w:rsidR="00DD375E" w:rsidRPr="00D73374">
        <w:rPr>
          <w:b w:val="0"/>
          <w:bCs/>
          <w:color w:val="auto"/>
          <w:sz w:val="22"/>
          <w:szCs w:val="22"/>
        </w:rPr>
        <w:t>Sand and gravel is sourced only from Doncaster</w:t>
      </w:r>
      <w:r w:rsidR="00A62C85" w:rsidRPr="00D73374">
        <w:rPr>
          <w:b w:val="0"/>
          <w:bCs/>
          <w:color w:val="auto"/>
          <w:sz w:val="22"/>
          <w:szCs w:val="22"/>
        </w:rPr>
        <w:t xml:space="preserve"> and the s</w:t>
      </w:r>
      <w:r w:rsidR="00DD375E" w:rsidRPr="00D73374">
        <w:rPr>
          <w:b w:val="0"/>
          <w:bCs/>
          <w:color w:val="auto"/>
          <w:sz w:val="22"/>
          <w:szCs w:val="22"/>
        </w:rPr>
        <w:t>harp sand and gravel resources remain</w:t>
      </w:r>
      <w:r w:rsidR="00A62C85" w:rsidRPr="00D73374">
        <w:rPr>
          <w:b w:val="0"/>
          <w:bCs/>
          <w:color w:val="auto"/>
          <w:sz w:val="22"/>
          <w:szCs w:val="22"/>
        </w:rPr>
        <w:t>s</w:t>
      </w:r>
      <w:r w:rsidR="00DD375E" w:rsidRPr="00D73374">
        <w:rPr>
          <w:b w:val="0"/>
          <w:bCs/>
          <w:color w:val="auto"/>
          <w:sz w:val="22"/>
          <w:szCs w:val="22"/>
        </w:rPr>
        <w:t xml:space="preserve"> a </w:t>
      </w:r>
      <w:r w:rsidR="00DD375E" w:rsidRPr="00D73374">
        <w:rPr>
          <w:b w:val="0"/>
          <w:bCs/>
          <w:color w:val="auto"/>
          <w:sz w:val="22"/>
          <w:szCs w:val="22"/>
        </w:rPr>
        <w:lastRenderedPageBreak/>
        <w:t xml:space="preserve">concern, locally, regionally and nationally. </w:t>
      </w:r>
      <w:r w:rsidR="00532247">
        <w:rPr>
          <w:b w:val="0"/>
          <w:bCs/>
          <w:color w:val="auto"/>
          <w:sz w:val="22"/>
          <w:szCs w:val="22"/>
        </w:rPr>
        <w:t>R</w:t>
      </w:r>
      <w:r w:rsidR="00D70F7F" w:rsidRPr="00D73374">
        <w:rPr>
          <w:b w:val="0"/>
          <w:bCs/>
          <w:color w:val="auto"/>
          <w:sz w:val="22"/>
          <w:szCs w:val="22"/>
        </w:rPr>
        <w:t xml:space="preserve">eserves and sales are shared between the 9 active sites identified in Table 1. </w:t>
      </w:r>
      <w:r w:rsidR="00A62C85" w:rsidRPr="00D73374">
        <w:rPr>
          <w:b w:val="0"/>
          <w:bCs/>
          <w:color w:val="auto"/>
          <w:sz w:val="22"/>
          <w:szCs w:val="22"/>
        </w:rPr>
        <w:t xml:space="preserve">Although the current </w:t>
      </w:r>
      <w:r w:rsidRPr="00D73374">
        <w:rPr>
          <w:b w:val="0"/>
          <w:bCs/>
          <w:color w:val="auto"/>
          <w:sz w:val="22"/>
          <w:szCs w:val="22"/>
        </w:rPr>
        <w:t xml:space="preserve">sand and gravel </w:t>
      </w:r>
      <w:r w:rsidR="00A62C85" w:rsidRPr="00D73374">
        <w:rPr>
          <w:b w:val="0"/>
          <w:bCs/>
          <w:color w:val="auto"/>
          <w:sz w:val="22"/>
          <w:szCs w:val="22"/>
        </w:rPr>
        <w:t xml:space="preserve">reserve is </w:t>
      </w:r>
      <w:r w:rsidR="00C77303" w:rsidRPr="00D73374">
        <w:rPr>
          <w:b w:val="0"/>
          <w:bCs/>
          <w:color w:val="auto"/>
          <w:sz w:val="22"/>
          <w:szCs w:val="22"/>
        </w:rPr>
        <w:t>6</w:t>
      </w:r>
      <w:r w:rsidR="00A62C85" w:rsidRPr="00D73374">
        <w:rPr>
          <w:b w:val="0"/>
          <w:bCs/>
          <w:color w:val="auto"/>
          <w:sz w:val="22"/>
          <w:szCs w:val="22"/>
        </w:rPr>
        <w:t xml:space="preserve">.1Mt with a landbank of just over </w:t>
      </w:r>
      <w:r w:rsidR="00BF7093" w:rsidRPr="00D73374">
        <w:rPr>
          <w:b w:val="0"/>
          <w:bCs/>
          <w:color w:val="auto"/>
          <w:sz w:val="22"/>
          <w:szCs w:val="22"/>
        </w:rPr>
        <w:t xml:space="preserve">12.5 </w:t>
      </w:r>
      <w:r w:rsidR="00A62C85" w:rsidRPr="00D73374">
        <w:rPr>
          <w:b w:val="0"/>
          <w:bCs/>
          <w:color w:val="auto"/>
          <w:sz w:val="22"/>
          <w:szCs w:val="22"/>
        </w:rPr>
        <w:t>years</w:t>
      </w:r>
      <w:r w:rsidR="00A62C85" w:rsidRPr="00D73374">
        <w:rPr>
          <w:rStyle w:val="FootnoteReference"/>
          <w:b w:val="0"/>
          <w:bCs/>
          <w:color w:val="auto"/>
          <w:sz w:val="22"/>
          <w:szCs w:val="22"/>
        </w:rPr>
        <w:footnoteReference w:id="12"/>
      </w:r>
      <w:r w:rsidR="00CC3FCA">
        <w:rPr>
          <w:b w:val="0"/>
          <w:bCs/>
          <w:color w:val="auto"/>
          <w:sz w:val="22"/>
          <w:szCs w:val="22"/>
        </w:rPr>
        <w:t>,</w:t>
      </w:r>
      <w:r w:rsidR="00A7393A">
        <w:rPr>
          <w:b w:val="0"/>
          <w:bCs/>
          <w:color w:val="auto"/>
          <w:sz w:val="22"/>
          <w:szCs w:val="22"/>
        </w:rPr>
        <w:t>t</w:t>
      </w:r>
      <w:r w:rsidR="00552357" w:rsidRPr="00D73374">
        <w:rPr>
          <w:b w:val="0"/>
          <w:bCs/>
          <w:color w:val="auto"/>
          <w:sz w:val="22"/>
          <w:szCs w:val="22"/>
        </w:rPr>
        <w:t xml:space="preserve">his is down </w:t>
      </w:r>
      <w:r w:rsidR="004F16F0" w:rsidRPr="00D73374">
        <w:rPr>
          <w:b w:val="0"/>
          <w:bCs/>
          <w:color w:val="auto"/>
          <w:sz w:val="22"/>
          <w:szCs w:val="22"/>
        </w:rPr>
        <w:t>1Mt on the previous year due to a re-estimate of remaining res</w:t>
      </w:r>
      <w:r w:rsidR="00B5556F" w:rsidRPr="00D73374">
        <w:rPr>
          <w:b w:val="0"/>
          <w:bCs/>
          <w:color w:val="auto"/>
          <w:sz w:val="22"/>
          <w:szCs w:val="22"/>
        </w:rPr>
        <w:t>erves</w:t>
      </w:r>
      <w:r w:rsidR="004F16F0" w:rsidRPr="00D73374">
        <w:rPr>
          <w:b w:val="0"/>
          <w:bCs/>
          <w:color w:val="auto"/>
          <w:sz w:val="22"/>
          <w:szCs w:val="22"/>
        </w:rPr>
        <w:t xml:space="preserve">. </w:t>
      </w:r>
      <w:r w:rsidR="00A7393A">
        <w:rPr>
          <w:b w:val="0"/>
          <w:bCs/>
          <w:color w:val="auto"/>
          <w:sz w:val="22"/>
          <w:szCs w:val="22"/>
        </w:rPr>
        <w:t>N</w:t>
      </w:r>
      <w:r w:rsidR="00A7393A" w:rsidRPr="00A7393A">
        <w:rPr>
          <w:b w:val="0"/>
          <w:bCs/>
          <w:color w:val="auto"/>
          <w:sz w:val="22"/>
          <w:szCs w:val="22"/>
        </w:rPr>
        <w:t>ew permissions will be required prior to maintain suppl</w:t>
      </w:r>
      <w:r w:rsidR="00A7393A">
        <w:rPr>
          <w:b w:val="0"/>
          <w:bCs/>
          <w:color w:val="auto"/>
          <w:sz w:val="22"/>
          <w:szCs w:val="22"/>
        </w:rPr>
        <w:t xml:space="preserve">y. </w:t>
      </w:r>
      <w:r w:rsidR="0019011B">
        <w:rPr>
          <w:b w:val="0"/>
          <w:bCs/>
          <w:color w:val="auto"/>
          <w:sz w:val="22"/>
          <w:szCs w:val="22"/>
        </w:rPr>
        <w:t>Also g</w:t>
      </w:r>
      <w:r w:rsidR="00E23C46" w:rsidRPr="00D73374">
        <w:rPr>
          <w:b w:val="0"/>
          <w:bCs/>
          <w:color w:val="auto"/>
          <w:sz w:val="22"/>
          <w:szCs w:val="22"/>
        </w:rPr>
        <w:t xml:space="preserve">iven </w:t>
      </w:r>
      <w:r w:rsidR="00A62C85" w:rsidRPr="00D73374">
        <w:rPr>
          <w:b w:val="0"/>
          <w:bCs/>
          <w:color w:val="auto"/>
          <w:sz w:val="22"/>
          <w:szCs w:val="22"/>
        </w:rPr>
        <w:t>only a fraction of this</w:t>
      </w:r>
      <w:r w:rsidR="00526F6E" w:rsidRPr="00D73374">
        <w:rPr>
          <w:b w:val="0"/>
          <w:bCs/>
          <w:color w:val="auto"/>
          <w:sz w:val="22"/>
          <w:szCs w:val="22"/>
        </w:rPr>
        <w:t xml:space="preserve"> reserve</w:t>
      </w:r>
      <w:r w:rsidR="00A62C85" w:rsidRPr="00D73374">
        <w:rPr>
          <w:b w:val="0"/>
          <w:bCs/>
          <w:color w:val="auto"/>
          <w:sz w:val="22"/>
          <w:szCs w:val="22"/>
        </w:rPr>
        <w:t xml:space="preserve"> is sharp sand and gravel</w:t>
      </w:r>
      <w:r w:rsidR="00E23C46" w:rsidRPr="00D73374">
        <w:rPr>
          <w:b w:val="0"/>
          <w:bCs/>
          <w:color w:val="auto"/>
          <w:sz w:val="22"/>
          <w:szCs w:val="22"/>
        </w:rPr>
        <w:t xml:space="preserve">, </w:t>
      </w:r>
      <w:r w:rsidR="00A62C85" w:rsidRPr="00D73374">
        <w:rPr>
          <w:b w:val="0"/>
          <w:bCs/>
          <w:color w:val="auto"/>
          <w:sz w:val="22"/>
          <w:szCs w:val="22"/>
        </w:rPr>
        <w:t xml:space="preserve">Local Plan </w:t>
      </w:r>
      <w:r w:rsidR="00E23C46" w:rsidRPr="00D73374">
        <w:rPr>
          <w:b w:val="0"/>
          <w:bCs/>
          <w:color w:val="auto"/>
          <w:sz w:val="22"/>
          <w:szCs w:val="22"/>
        </w:rPr>
        <w:t>P</w:t>
      </w:r>
      <w:r w:rsidR="00A62C85" w:rsidRPr="00D73374">
        <w:rPr>
          <w:b w:val="0"/>
          <w:bCs/>
          <w:color w:val="auto"/>
          <w:sz w:val="22"/>
          <w:szCs w:val="22"/>
        </w:rPr>
        <w:t xml:space="preserve">olicy 61 requires all new applications to evidence more than 20% sharp sand and gravel in their proposals. </w:t>
      </w:r>
      <w:r w:rsidR="00B2355F" w:rsidRPr="00D73374">
        <w:rPr>
          <w:b w:val="0"/>
          <w:bCs/>
          <w:color w:val="auto"/>
          <w:sz w:val="22"/>
          <w:szCs w:val="22"/>
        </w:rPr>
        <w:t xml:space="preserve">The new site at Rossington Quarry (Great North Road) </w:t>
      </w:r>
      <w:r w:rsidR="00F341DF">
        <w:rPr>
          <w:b w:val="0"/>
          <w:bCs/>
          <w:color w:val="auto"/>
          <w:sz w:val="22"/>
          <w:szCs w:val="22"/>
        </w:rPr>
        <w:t xml:space="preserve">for example </w:t>
      </w:r>
      <w:r w:rsidR="00B2355F" w:rsidRPr="00D73374">
        <w:rPr>
          <w:b w:val="0"/>
          <w:bCs/>
          <w:color w:val="auto"/>
          <w:sz w:val="22"/>
          <w:szCs w:val="22"/>
        </w:rPr>
        <w:t xml:space="preserve">has evidenced </w:t>
      </w:r>
      <w:r w:rsidR="00C82D2A" w:rsidRPr="00D73374">
        <w:rPr>
          <w:b w:val="0"/>
          <w:bCs/>
          <w:color w:val="auto"/>
          <w:sz w:val="22"/>
          <w:szCs w:val="22"/>
        </w:rPr>
        <w:t xml:space="preserve">60% sharp sand and gravel on site. </w:t>
      </w:r>
      <w:r w:rsidR="00260FA2">
        <w:rPr>
          <w:b w:val="0"/>
          <w:bCs/>
          <w:color w:val="auto"/>
          <w:sz w:val="22"/>
          <w:szCs w:val="22"/>
        </w:rPr>
        <w:t xml:space="preserve">Although </w:t>
      </w:r>
      <w:r w:rsidR="005952D8">
        <w:rPr>
          <w:b w:val="0"/>
          <w:bCs/>
          <w:color w:val="auto"/>
          <w:sz w:val="22"/>
          <w:szCs w:val="22"/>
        </w:rPr>
        <w:t>sites have medium to long term permissions, r</w:t>
      </w:r>
      <w:r w:rsidR="000639B6">
        <w:rPr>
          <w:b w:val="0"/>
          <w:bCs/>
          <w:color w:val="auto"/>
          <w:sz w:val="22"/>
          <w:szCs w:val="22"/>
        </w:rPr>
        <w:t xml:space="preserve">esource availability may limit productive </w:t>
      </w:r>
      <w:r w:rsidR="004D1C14">
        <w:rPr>
          <w:b w:val="0"/>
          <w:bCs/>
          <w:color w:val="auto"/>
          <w:sz w:val="22"/>
          <w:szCs w:val="22"/>
        </w:rPr>
        <w:t>capacity in the fut</w:t>
      </w:r>
      <w:r w:rsidR="00AF0E98">
        <w:rPr>
          <w:b w:val="0"/>
          <w:bCs/>
          <w:color w:val="auto"/>
          <w:sz w:val="22"/>
          <w:szCs w:val="22"/>
        </w:rPr>
        <w:t xml:space="preserve">ure. </w:t>
      </w:r>
    </w:p>
    <w:p w14:paraId="2462D0B3" w14:textId="016E3225" w:rsidR="003F04C8" w:rsidRPr="00D73374" w:rsidRDefault="004E2898" w:rsidP="00D73374">
      <w:pPr>
        <w:pStyle w:val="Sub-heading"/>
        <w:numPr>
          <w:ilvl w:val="0"/>
          <w:numId w:val="3"/>
        </w:numPr>
        <w:spacing w:before="240" w:after="200" w:line="276" w:lineRule="auto"/>
        <w:jc w:val="left"/>
        <w:rPr>
          <w:sz w:val="22"/>
          <w:szCs w:val="22"/>
        </w:rPr>
      </w:pPr>
      <w:r w:rsidRPr="00D73374">
        <w:rPr>
          <w:b w:val="0"/>
          <w:bCs/>
          <w:color w:val="auto"/>
          <w:sz w:val="22"/>
          <w:szCs w:val="22"/>
        </w:rPr>
        <w:t xml:space="preserve">In terms of crushed rock </w:t>
      </w:r>
      <w:r w:rsidR="00C7193D" w:rsidRPr="00D73374">
        <w:rPr>
          <w:b w:val="0"/>
          <w:bCs/>
          <w:color w:val="auto"/>
          <w:sz w:val="22"/>
          <w:szCs w:val="22"/>
        </w:rPr>
        <w:t>(l</w:t>
      </w:r>
      <w:r w:rsidR="003F04C8" w:rsidRPr="00D73374">
        <w:rPr>
          <w:b w:val="0"/>
          <w:bCs/>
          <w:color w:val="auto"/>
          <w:sz w:val="22"/>
          <w:szCs w:val="22"/>
        </w:rPr>
        <w:t>imestone aggregate</w:t>
      </w:r>
      <w:r w:rsidR="00C7193D" w:rsidRPr="00D73374">
        <w:rPr>
          <w:b w:val="0"/>
          <w:bCs/>
          <w:color w:val="auto"/>
          <w:sz w:val="22"/>
          <w:szCs w:val="22"/>
        </w:rPr>
        <w:t>)</w:t>
      </w:r>
      <w:r w:rsidR="003F04C8" w:rsidRPr="00D73374">
        <w:rPr>
          <w:b w:val="0"/>
          <w:bCs/>
          <w:color w:val="auto"/>
          <w:sz w:val="22"/>
          <w:szCs w:val="22"/>
        </w:rPr>
        <w:t xml:space="preserve">, </w:t>
      </w:r>
      <w:proofErr w:type="spellStart"/>
      <w:r w:rsidR="003F04C8" w:rsidRPr="00D73374">
        <w:rPr>
          <w:b w:val="0"/>
          <w:bCs/>
          <w:color w:val="auto"/>
          <w:sz w:val="22"/>
          <w:szCs w:val="22"/>
        </w:rPr>
        <w:t>Harrycroft</w:t>
      </w:r>
      <w:proofErr w:type="spellEnd"/>
      <w:r w:rsidR="003F04C8" w:rsidRPr="00D73374">
        <w:rPr>
          <w:b w:val="0"/>
          <w:bCs/>
          <w:color w:val="auto"/>
          <w:sz w:val="22"/>
          <w:szCs w:val="22"/>
        </w:rPr>
        <w:t xml:space="preserve"> quarry in Rotherham </w:t>
      </w:r>
      <w:r w:rsidR="00E40D32" w:rsidRPr="00D73374">
        <w:rPr>
          <w:b w:val="0"/>
          <w:bCs/>
          <w:color w:val="auto"/>
          <w:sz w:val="22"/>
          <w:szCs w:val="22"/>
        </w:rPr>
        <w:t>remains</w:t>
      </w:r>
      <w:r w:rsidR="003F04C8" w:rsidRPr="00D73374">
        <w:rPr>
          <w:b w:val="0"/>
          <w:bCs/>
          <w:color w:val="auto"/>
          <w:sz w:val="22"/>
          <w:szCs w:val="22"/>
        </w:rPr>
        <w:t xml:space="preserve"> inactive</w:t>
      </w:r>
      <w:r w:rsidR="00E40D32" w:rsidRPr="00D73374">
        <w:rPr>
          <w:b w:val="0"/>
          <w:bCs/>
          <w:color w:val="auto"/>
          <w:sz w:val="22"/>
          <w:szCs w:val="22"/>
        </w:rPr>
        <w:t xml:space="preserve"> </w:t>
      </w:r>
      <w:r w:rsidR="00F32A3E" w:rsidRPr="00D73374">
        <w:rPr>
          <w:b w:val="0"/>
          <w:bCs/>
          <w:color w:val="auto"/>
          <w:sz w:val="22"/>
          <w:szCs w:val="22"/>
        </w:rPr>
        <w:t>with no</w:t>
      </w:r>
      <w:r w:rsidR="00E40D32" w:rsidRPr="00D73374">
        <w:rPr>
          <w:b w:val="0"/>
          <w:bCs/>
          <w:color w:val="auto"/>
          <w:sz w:val="22"/>
          <w:szCs w:val="22"/>
        </w:rPr>
        <w:t xml:space="preserve"> plans to re</w:t>
      </w:r>
      <w:r w:rsidR="00BC197F">
        <w:rPr>
          <w:b w:val="0"/>
          <w:bCs/>
          <w:color w:val="auto"/>
          <w:sz w:val="22"/>
          <w:szCs w:val="22"/>
        </w:rPr>
        <w:t>-</w:t>
      </w:r>
      <w:r w:rsidR="00E40D32" w:rsidRPr="00D73374">
        <w:rPr>
          <w:b w:val="0"/>
          <w:bCs/>
          <w:color w:val="auto"/>
          <w:sz w:val="22"/>
          <w:szCs w:val="22"/>
        </w:rPr>
        <w:t>activate extraction. Barnsdale Bar quarry is active in North Yorkshire and although no reserves are accounted for in the</w:t>
      </w:r>
      <w:r w:rsidR="00153045" w:rsidRPr="00D73374">
        <w:rPr>
          <w:b w:val="0"/>
          <w:bCs/>
          <w:color w:val="auto"/>
          <w:sz w:val="22"/>
          <w:szCs w:val="22"/>
        </w:rPr>
        <w:t xml:space="preserve"> Doncaster and</w:t>
      </w:r>
      <w:r w:rsidR="00E40D32" w:rsidRPr="00D73374">
        <w:rPr>
          <w:b w:val="0"/>
          <w:bCs/>
          <w:color w:val="auto"/>
          <w:sz w:val="22"/>
          <w:szCs w:val="22"/>
        </w:rPr>
        <w:t xml:space="preserve"> Rothe</w:t>
      </w:r>
      <w:r w:rsidR="00153045" w:rsidRPr="00D73374">
        <w:rPr>
          <w:b w:val="0"/>
          <w:bCs/>
          <w:color w:val="auto"/>
          <w:sz w:val="22"/>
          <w:szCs w:val="22"/>
        </w:rPr>
        <w:t>r</w:t>
      </w:r>
      <w:r w:rsidR="00E40D32" w:rsidRPr="00D73374">
        <w:rPr>
          <w:b w:val="0"/>
          <w:bCs/>
          <w:color w:val="auto"/>
          <w:sz w:val="22"/>
          <w:szCs w:val="22"/>
        </w:rPr>
        <w:t>ham</w:t>
      </w:r>
      <w:r w:rsidR="00153045" w:rsidRPr="00D73374">
        <w:rPr>
          <w:b w:val="0"/>
          <w:bCs/>
          <w:color w:val="auto"/>
          <w:sz w:val="22"/>
          <w:szCs w:val="22"/>
        </w:rPr>
        <w:t xml:space="preserve"> LAA, the proximity of the site to the Doncaster border provides opportunity for sales of material locally. Hazel Lane quarry is a small independent provider </w:t>
      </w:r>
      <w:r w:rsidR="00292497" w:rsidRPr="00D73374">
        <w:rPr>
          <w:b w:val="0"/>
          <w:bCs/>
          <w:color w:val="auto"/>
          <w:sz w:val="22"/>
          <w:szCs w:val="22"/>
        </w:rPr>
        <w:t>who rarely</w:t>
      </w:r>
      <w:r w:rsidR="00153045" w:rsidRPr="00D73374">
        <w:rPr>
          <w:b w:val="0"/>
          <w:bCs/>
          <w:color w:val="auto"/>
          <w:sz w:val="22"/>
          <w:szCs w:val="22"/>
        </w:rPr>
        <w:t xml:space="preserve"> responds to the request for </w:t>
      </w:r>
      <w:proofErr w:type="gramStart"/>
      <w:r w:rsidR="00153045" w:rsidRPr="00D73374">
        <w:rPr>
          <w:b w:val="0"/>
          <w:bCs/>
          <w:color w:val="auto"/>
          <w:sz w:val="22"/>
          <w:szCs w:val="22"/>
        </w:rPr>
        <w:t>information</w:t>
      </w:r>
      <w:proofErr w:type="gramEnd"/>
      <w:r w:rsidR="00153045" w:rsidRPr="00D73374">
        <w:rPr>
          <w:b w:val="0"/>
          <w:bCs/>
          <w:color w:val="auto"/>
          <w:sz w:val="22"/>
          <w:szCs w:val="22"/>
        </w:rPr>
        <w:t xml:space="preserve"> so it is difficult to comment on this site. </w:t>
      </w:r>
      <w:proofErr w:type="spellStart"/>
      <w:r w:rsidR="00153045" w:rsidRPr="00D73374">
        <w:rPr>
          <w:b w:val="0"/>
          <w:bCs/>
          <w:color w:val="auto"/>
          <w:sz w:val="22"/>
          <w:szCs w:val="22"/>
        </w:rPr>
        <w:t>Warmsworth</w:t>
      </w:r>
      <w:proofErr w:type="spellEnd"/>
      <w:r w:rsidR="00153045" w:rsidRPr="00D73374">
        <w:rPr>
          <w:b w:val="0"/>
          <w:bCs/>
          <w:color w:val="auto"/>
          <w:sz w:val="22"/>
          <w:szCs w:val="22"/>
        </w:rPr>
        <w:t xml:space="preserve"> quarry provides mainly industrial mineral but also a small amount of aggregate annually</w:t>
      </w:r>
      <w:r w:rsidR="00193FDC" w:rsidRPr="00D73374">
        <w:rPr>
          <w:b w:val="0"/>
          <w:bCs/>
          <w:color w:val="auto"/>
          <w:sz w:val="22"/>
          <w:szCs w:val="22"/>
        </w:rPr>
        <w:t xml:space="preserve">, </w:t>
      </w:r>
      <w:r w:rsidR="00D6759A">
        <w:rPr>
          <w:b w:val="0"/>
          <w:bCs/>
          <w:color w:val="auto"/>
          <w:sz w:val="22"/>
          <w:szCs w:val="22"/>
        </w:rPr>
        <w:t xml:space="preserve">unusually </w:t>
      </w:r>
      <w:r w:rsidR="00193FDC" w:rsidRPr="00D73374">
        <w:rPr>
          <w:b w:val="0"/>
          <w:bCs/>
          <w:color w:val="auto"/>
          <w:sz w:val="22"/>
          <w:szCs w:val="22"/>
        </w:rPr>
        <w:t>they have</w:t>
      </w:r>
      <w:r w:rsidR="00F54822" w:rsidRPr="00D73374">
        <w:rPr>
          <w:b w:val="0"/>
          <w:bCs/>
          <w:color w:val="auto"/>
          <w:sz w:val="22"/>
          <w:szCs w:val="22"/>
        </w:rPr>
        <w:t xml:space="preserve"> not</w:t>
      </w:r>
      <w:r w:rsidR="00193FDC" w:rsidRPr="00D73374">
        <w:rPr>
          <w:b w:val="0"/>
          <w:bCs/>
          <w:color w:val="auto"/>
          <w:sz w:val="22"/>
          <w:szCs w:val="22"/>
        </w:rPr>
        <w:t xml:space="preserve"> responded</w:t>
      </w:r>
      <w:r w:rsidR="00F54822" w:rsidRPr="00D73374">
        <w:rPr>
          <w:b w:val="0"/>
          <w:bCs/>
          <w:color w:val="auto"/>
          <w:sz w:val="22"/>
          <w:szCs w:val="22"/>
        </w:rPr>
        <w:t xml:space="preserve"> to this year’s</w:t>
      </w:r>
      <w:r w:rsidR="000C01D0" w:rsidRPr="00D73374">
        <w:rPr>
          <w:b w:val="0"/>
          <w:bCs/>
          <w:color w:val="auto"/>
          <w:sz w:val="22"/>
          <w:szCs w:val="22"/>
        </w:rPr>
        <w:t xml:space="preserve"> monitoring request.</w:t>
      </w:r>
      <w:r w:rsidR="00153045" w:rsidRPr="00D73374">
        <w:rPr>
          <w:b w:val="0"/>
          <w:bCs/>
          <w:color w:val="auto"/>
          <w:sz w:val="22"/>
          <w:szCs w:val="22"/>
        </w:rPr>
        <w:t xml:space="preserve"> </w:t>
      </w:r>
      <w:r w:rsidR="003F04C8" w:rsidRPr="00D73374">
        <w:rPr>
          <w:b w:val="0"/>
          <w:bCs/>
          <w:color w:val="auto"/>
          <w:sz w:val="22"/>
          <w:szCs w:val="22"/>
        </w:rPr>
        <w:t xml:space="preserve">Cadeby quarry has extant permission for aggregate extraction, but </w:t>
      </w:r>
      <w:r w:rsidR="00733F64" w:rsidRPr="00D73374">
        <w:rPr>
          <w:b w:val="0"/>
          <w:bCs/>
          <w:color w:val="auto"/>
          <w:sz w:val="22"/>
          <w:szCs w:val="22"/>
        </w:rPr>
        <w:t>currently only</w:t>
      </w:r>
      <w:r w:rsidR="003F04C8" w:rsidRPr="00D73374">
        <w:rPr>
          <w:b w:val="0"/>
          <w:bCs/>
          <w:color w:val="auto"/>
          <w:sz w:val="22"/>
          <w:szCs w:val="22"/>
        </w:rPr>
        <w:t xml:space="preserve"> provides</w:t>
      </w:r>
      <w:r w:rsidR="00F30BEA">
        <w:rPr>
          <w:b w:val="0"/>
          <w:bCs/>
          <w:color w:val="auto"/>
          <w:sz w:val="22"/>
          <w:szCs w:val="22"/>
        </w:rPr>
        <w:t xml:space="preserve"> prestige</w:t>
      </w:r>
      <w:r w:rsidR="003F04C8" w:rsidRPr="00D73374">
        <w:rPr>
          <w:b w:val="0"/>
          <w:bCs/>
          <w:color w:val="auto"/>
          <w:sz w:val="22"/>
          <w:szCs w:val="22"/>
        </w:rPr>
        <w:t xml:space="preserve"> dimension stone, Glen quarry (Stainton</w:t>
      </w:r>
      <w:r w:rsidR="00733F64" w:rsidRPr="00D73374">
        <w:rPr>
          <w:b w:val="0"/>
          <w:bCs/>
          <w:color w:val="auto"/>
          <w:sz w:val="22"/>
          <w:szCs w:val="22"/>
        </w:rPr>
        <w:t>)</w:t>
      </w:r>
      <w:r w:rsidR="003F04C8" w:rsidRPr="00D73374">
        <w:rPr>
          <w:b w:val="0"/>
          <w:bCs/>
          <w:color w:val="auto"/>
          <w:sz w:val="22"/>
          <w:szCs w:val="22"/>
        </w:rPr>
        <w:t xml:space="preserve"> has no remaining reserves and uses Holme Hall quarry mineral to manufacture product</w:t>
      </w:r>
      <w:r w:rsidR="00733F64" w:rsidRPr="00D73374">
        <w:rPr>
          <w:b w:val="0"/>
          <w:bCs/>
          <w:color w:val="auto"/>
          <w:sz w:val="22"/>
          <w:szCs w:val="22"/>
        </w:rPr>
        <w:t xml:space="preserve">s. Holme Hall Quarry </w:t>
      </w:r>
      <w:r w:rsidR="00F32A3E" w:rsidRPr="00D73374">
        <w:rPr>
          <w:b w:val="0"/>
          <w:bCs/>
          <w:color w:val="auto"/>
          <w:sz w:val="22"/>
          <w:szCs w:val="22"/>
        </w:rPr>
        <w:t>has been</w:t>
      </w:r>
      <w:r w:rsidR="00733F64" w:rsidRPr="00D73374">
        <w:rPr>
          <w:b w:val="0"/>
          <w:bCs/>
          <w:color w:val="auto"/>
          <w:sz w:val="22"/>
          <w:szCs w:val="22"/>
        </w:rPr>
        <w:t xml:space="preserve"> </w:t>
      </w:r>
      <w:r w:rsidR="00D44A25" w:rsidRPr="00D73374">
        <w:rPr>
          <w:b w:val="0"/>
          <w:bCs/>
          <w:color w:val="auto"/>
          <w:sz w:val="22"/>
          <w:szCs w:val="22"/>
        </w:rPr>
        <w:t xml:space="preserve">the </w:t>
      </w:r>
      <w:r w:rsidR="00733F64" w:rsidRPr="00D73374">
        <w:rPr>
          <w:b w:val="0"/>
          <w:bCs/>
          <w:color w:val="auto"/>
          <w:sz w:val="22"/>
          <w:szCs w:val="22"/>
        </w:rPr>
        <w:t xml:space="preserve">major </w:t>
      </w:r>
      <w:r w:rsidR="00E40D32" w:rsidRPr="00D73374">
        <w:rPr>
          <w:b w:val="0"/>
          <w:bCs/>
          <w:color w:val="auto"/>
          <w:sz w:val="22"/>
          <w:szCs w:val="22"/>
        </w:rPr>
        <w:t xml:space="preserve">limestone aggregate </w:t>
      </w:r>
      <w:r w:rsidR="00F32A3E" w:rsidRPr="00D73374">
        <w:rPr>
          <w:b w:val="0"/>
          <w:bCs/>
          <w:color w:val="auto"/>
          <w:sz w:val="22"/>
          <w:szCs w:val="22"/>
        </w:rPr>
        <w:t>provider</w:t>
      </w:r>
      <w:r w:rsidR="00733F64" w:rsidRPr="00D73374">
        <w:rPr>
          <w:b w:val="0"/>
          <w:bCs/>
          <w:color w:val="auto"/>
          <w:sz w:val="22"/>
          <w:szCs w:val="22"/>
        </w:rPr>
        <w:t xml:space="preserve"> </w:t>
      </w:r>
      <w:r w:rsidR="00AF591A" w:rsidRPr="00D73374">
        <w:rPr>
          <w:b w:val="0"/>
          <w:bCs/>
          <w:color w:val="auto"/>
          <w:sz w:val="22"/>
          <w:szCs w:val="22"/>
        </w:rPr>
        <w:t xml:space="preserve">in Doncaster </w:t>
      </w:r>
      <w:r w:rsidR="00733F64" w:rsidRPr="00D73374">
        <w:rPr>
          <w:b w:val="0"/>
          <w:bCs/>
          <w:color w:val="auto"/>
          <w:sz w:val="22"/>
          <w:szCs w:val="22"/>
        </w:rPr>
        <w:t>for</w:t>
      </w:r>
      <w:r w:rsidR="00D44A25" w:rsidRPr="00D73374">
        <w:rPr>
          <w:b w:val="0"/>
          <w:bCs/>
          <w:color w:val="auto"/>
          <w:sz w:val="22"/>
          <w:szCs w:val="22"/>
        </w:rPr>
        <w:t xml:space="preserve"> some </w:t>
      </w:r>
      <w:r w:rsidR="00733F64" w:rsidRPr="00D73374">
        <w:rPr>
          <w:b w:val="0"/>
          <w:bCs/>
          <w:color w:val="auto"/>
          <w:sz w:val="22"/>
          <w:szCs w:val="22"/>
        </w:rPr>
        <w:t>years, providing over 90% of crushed rock aggregate sal</w:t>
      </w:r>
      <w:r w:rsidR="00E40D32" w:rsidRPr="00D73374">
        <w:rPr>
          <w:b w:val="0"/>
          <w:bCs/>
          <w:color w:val="auto"/>
          <w:sz w:val="22"/>
          <w:szCs w:val="22"/>
        </w:rPr>
        <w:t xml:space="preserve">es. </w:t>
      </w:r>
      <w:r w:rsidR="00693AF4" w:rsidRPr="00D73374">
        <w:rPr>
          <w:b w:val="0"/>
          <w:bCs/>
          <w:color w:val="auto"/>
          <w:sz w:val="22"/>
          <w:szCs w:val="22"/>
        </w:rPr>
        <w:t xml:space="preserve">The </w:t>
      </w:r>
      <w:r w:rsidR="00153045" w:rsidRPr="00D73374">
        <w:rPr>
          <w:b w:val="0"/>
          <w:bCs/>
          <w:color w:val="auto"/>
          <w:sz w:val="22"/>
          <w:szCs w:val="22"/>
        </w:rPr>
        <w:t xml:space="preserve">two pending permissions </w:t>
      </w:r>
      <w:r w:rsidR="00612438" w:rsidRPr="00D73374">
        <w:rPr>
          <w:b w:val="0"/>
          <w:bCs/>
          <w:color w:val="auto"/>
          <w:sz w:val="22"/>
          <w:szCs w:val="22"/>
        </w:rPr>
        <w:t xml:space="preserve">for Holme Hall Quarry </w:t>
      </w:r>
      <w:r w:rsidR="00153045" w:rsidRPr="00D73374">
        <w:rPr>
          <w:b w:val="0"/>
          <w:bCs/>
          <w:color w:val="auto"/>
          <w:sz w:val="22"/>
          <w:szCs w:val="22"/>
        </w:rPr>
        <w:t>(21/00433/MIN and 21/00398/MINA</w:t>
      </w:r>
      <w:r w:rsidR="009E2FF0" w:rsidRPr="00D73374">
        <w:rPr>
          <w:rStyle w:val="FootnoteReference"/>
          <w:b w:val="0"/>
          <w:bCs/>
          <w:color w:val="auto"/>
          <w:sz w:val="22"/>
          <w:szCs w:val="22"/>
        </w:rPr>
        <w:footnoteReference w:id="13"/>
      </w:r>
      <w:r w:rsidR="00612438" w:rsidRPr="00D73374">
        <w:rPr>
          <w:b w:val="0"/>
          <w:bCs/>
          <w:color w:val="auto"/>
          <w:sz w:val="22"/>
          <w:szCs w:val="22"/>
        </w:rPr>
        <w:t xml:space="preserve"> identified in the </w:t>
      </w:r>
      <w:r w:rsidR="00192F6F" w:rsidRPr="00D73374">
        <w:rPr>
          <w:b w:val="0"/>
          <w:bCs/>
          <w:color w:val="auto"/>
          <w:sz w:val="22"/>
          <w:szCs w:val="22"/>
        </w:rPr>
        <w:t>2023 LAA</w:t>
      </w:r>
      <w:r w:rsidR="00153045" w:rsidRPr="00D73374">
        <w:rPr>
          <w:bCs/>
          <w:color w:val="auto"/>
          <w:sz w:val="22"/>
          <w:szCs w:val="22"/>
        </w:rPr>
        <w:t xml:space="preserve"> </w:t>
      </w:r>
      <w:r w:rsidR="00192F6F" w:rsidRPr="00D73374">
        <w:rPr>
          <w:b w:val="0"/>
          <w:color w:val="auto"/>
          <w:sz w:val="22"/>
          <w:szCs w:val="22"/>
        </w:rPr>
        <w:t>(</w:t>
      </w:r>
      <w:r w:rsidR="00153045" w:rsidRPr="00D73374">
        <w:rPr>
          <w:b w:val="0"/>
          <w:color w:val="auto"/>
          <w:sz w:val="22"/>
          <w:szCs w:val="22"/>
        </w:rPr>
        <w:t>s</w:t>
      </w:r>
      <w:r w:rsidR="00153045" w:rsidRPr="00D73374">
        <w:rPr>
          <w:b w:val="0"/>
          <w:bCs/>
          <w:color w:val="auto"/>
          <w:sz w:val="22"/>
          <w:szCs w:val="22"/>
        </w:rPr>
        <w:t>ee appendix one)</w:t>
      </w:r>
      <w:r w:rsidR="00713B19" w:rsidRPr="00D73374">
        <w:rPr>
          <w:b w:val="0"/>
          <w:bCs/>
          <w:color w:val="auto"/>
          <w:sz w:val="22"/>
          <w:szCs w:val="22"/>
        </w:rPr>
        <w:t xml:space="preserve"> have subsequently been approved increasing the landbank significantly for the next 8 years</w:t>
      </w:r>
      <w:r w:rsidR="00E97037">
        <w:rPr>
          <w:b w:val="0"/>
          <w:bCs/>
          <w:color w:val="auto"/>
          <w:sz w:val="22"/>
          <w:szCs w:val="22"/>
        </w:rPr>
        <w:t xml:space="preserve"> (</w:t>
      </w:r>
      <w:r w:rsidR="005D472E">
        <w:rPr>
          <w:b w:val="0"/>
          <w:bCs/>
          <w:color w:val="auto"/>
          <w:sz w:val="22"/>
          <w:szCs w:val="22"/>
        </w:rPr>
        <w:t xml:space="preserve">until </w:t>
      </w:r>
      <w:r w:rsidR="00E97037">
        <w:rPr>
          <w:b w:val="0"/>
          <w:bCs/>
          <w:color w:val="auto"/>
          <w:sz w:val="22"/>
          <w:szCs w:val="22"/>
        </w:rPr>
        <w:t>2035)</w:t>
      </w:r>
      <w:r w:rsidR="00E40D32" w:rsidRPr="00D73374">
        <w:rPr>
          <w:b w:val="0"/>
          <w:bCs/>
          <w:color w:val="auto"/>
          <w:sz w:val="22"/>
          <w:szCs w:val="22"/>
        </w:rPr>
        <w:t>.</w:t>
      </w:r>
      <w:r w:rsidR="00D44A25" w:rsidRPr="00D73374">
        <w:rPr>
          <w:b w:val="0"/>
          <w:bCs/>
          <w:color w:val="auto"/>
          <w:sz w:val="22"/>
          <w:szCs w:val="22"/>
        </w:rPr>
        <w:t xml:space="preserve"> </w:t>
      </w:r>
    </w:p>
    <w:p w14:paraId="72DEF00C" w14:textId="5302F769" w:rsidR="00F32A3E" w:rsidRPr="00D73374" w:rsidRDefault="00DE18D3" w:rsidP="00D73374">
      <w:pPr>
        <w:pStyle w:val="Sub-heading"/>
        <w:numPr>
          <w:ilvl w:val="0"/>
          <w:numId w:val="3"/>
        </w:numPr>
        <w:spacing w:before="240" w:after="200" w:line="276" w:lineRule="auto"/>
        <w:jc w:val="left"/>
        <w:rPr>
          <w:sz w:val="22"/>
          <w:szCs w:val="22"/>
        </w:rPr>
      </w:pPr>
      <w:r>
        <w:rPr>
          <w:b w:val="0"/>
          <w:bCs/>
          <w:color w:val="auto"/>
          <w:sz w:val="22"/>
          <w:szCs w:val="22"/>
        </w:rPr>
        <w:t>The two main concerns relating to security of supply are</w:t>
      </w:r>
      <w:r w:rsidR="00B11BBA" w:rsidRPr="00D73374">
        <w:rPr>
          <w:b w:val="0"/>
          <w:bCs/>
          <w:color w:val="auto"/>
          <w:sz w:val="22"/>
          <w:szCs w:val="22"/>
        </w:rPr>
        <w:t xml:space="preserve"> the</w:t>
      </w:r>
      <w:r w:rsidR="00CB2E95">
        <w:rPr>
          <w:b w:val="0"/>
          <w:bCs/>
          <w:color w:val="auto"/>
          <w:sz w:val="22"/>
          <w:szCs w:val="22"/>
        </w:rPr>
        <w:t xml:space="preserve"> sand and gravel reserve being made up of mostly soft sand</w:t>
      </w:r>
      <w:r w:rsidR="00956283">
        <w:rPr>
          <w:b w:val="0"/>
          <w:bCs/>
          <w:color w:val="auto"/>
          <w:sz w:val="22"/>
          <w:szCs w:val="22"/>
        </w:rPr>
        <w:t xml:space="preserve"> </w:t>
      </w:r>
      <w:r w:rsidR="00B11BBA" w:rsidRPr="00D73374">
        <w:rPr>
          <w:b w:val="0"/>
          <w:bCs/>
          <w:color w:val="auto"/>
          <w:sz w:val="22"/>
          <w:szCs w:val="22"/>
        </w:rPr>
        <w:t xml:space="preserve">and </w:t>
      </w:r>
      <w:r w:rsidR="00F74F70" w:rsidRPr="00D73374">
        <w:rPr>
          <w:b w:val="0"/>
          <w:bCs/>
          <w:color w:val="auto"/>
          <w:sz w:val="22"/>
          <w:szCs w:val="22"/>
        </w:rPr>
        <w:t xml:space="preserve">crushed rock </w:t>
      </w:r>
      <w:r w:rsidR="00B11BBA" w:rsidRPr="00D73374">
        <w:rPr>
          <w:b w:val="0"/>
          <w:bCs/>
          <w:color w:val="auto"/>
          <w:sz w:val="22"/>
          <w:szCs w:val="22"/>
        </w:rPr>
        <w:t>resources</w:t>
      </w:r>
      <w:r w:rsidR="00ED040E" w:rsidRPr="00D73374">
        <w:rPr>
          <w:b w:val="0"/>
          <w:bCs/>
          <w:color w:val="auto"/>
          <w:sz w:val="22"/>
          <w:szCs w:val="22"/>
        </w:rPr>
        <w:t xml:space="preserve"> (mentioned above)</w:t>
      </w:r>
      <w:r w:rsidR="00B11BBA" w:rsidRPr="00D73374">
        <w:rPr>
          <w:b w:val="0"/>
          <w:bCs/>
          <w:color w:val="auto"/>
          <w:sz w:val="22"/>
          <w:szCs w:val="22"/>
        </w:rPr>
        <w:t xml:space="preserve"> being</w:t>
      </w:r>
      <w:r w:rsidR="00F74F70" w:rsidRPr="00D73374">
        <w:rPr>
          <w:b w:val="0"/>
          <w:bCs/>
          <w:color w:val="auto"/>
          <w:sz w:val="22"/>
          <w:szCs w:val="22"/>
        </w:rPr>
        <w:t xml:space="preserve"> mostly within one </w:t>
      </w:r>
      <w:r w:rsidR="00C06DC6" w:rsidRPr="00D73374">
        <w:rPr>
          <w:b w:val="0"/>
          <w:bCs/>
          <w:color w:val="auto"/>
          <w:sz w:val="22"/>
          <w:szCs w:val="22"/>
        </w:rPr>
        <w:t>operating site</w:t>
      </w:r>
      <w:r w:rsidR="00956283">
        <w:rPr>
          <w:b w:val="0"/>
          <w:bCs/>
          <w:color w:val="auto"/>
          <w:sz w:val="22"/>
          <w:szCs w:val="22"/>
        </w:rPr>
        <w:t xml:space="preserve">. </w:t>
      </w:r>
      <w:r w:rsidR="002E1B08">
        <w:rPr>
          <w:b w:val="0"/>
          <w:bCs/>
          <w:color w:val="auto"/>
          <w:sz w:val="22"/>
          <w:szCs w:val="22"/>
        </w:rPr>
        <w:t xml:space="preserve">Also, </w:t>
      </w:r>
      <w:r w:rsidR="002E1B08" w:rsidRPr="002E1B08">
        <w:rPr>
          <w:b w:val="0"/>
          <w:bCs/>
          <w:color w:val="auto"/>
          <w:sz w:val="22"/>
          <w:szCs w:val="22"/>
        </w:rPr>
        <w:t xml:space="preserve">6 of the 9 active </w:t>
      </w:r>
      <w:r w:rsidR="00A05876">
        <w:rPr>
          <w:b w:val="0"/>
          <w:bCs/>
          <w:color w:val="auto"/>
          <w:sz w:val="22"/>
          <w:szCs w:val="22"/>
        </w:rPr>
        <w:t xml:space="preserve">sand and gravel </w:t>
      </w:r>
      <w:r w:rsidR="002E1B08" w:rsidRPr="002E1B08">
        <w:rPr>
          <w:b w:val="0"/>
          <w:bCs/>
          <w:color w:val="auto"/>
          <w:sz w:val="22"/>
          <w:szCs w:val="22"/>
        </w:rPr>
        <w:t xml:space="preserve">sites have permissions that expire before 2030 and for crushed rock </w:t>
      </w:r>
      <w:r w:rsidR="00A05876">
        <w:rPr>
          <w:b w:val="0"/>
          <w:bCs/>
          <w:color w:val="auto"/>
          <w:sz w:val="22"/>
          <w:szCs w:val="22"/>
        </w:rPr>
        <w:t xml:space="preserve">the </w:t>
      </w:r>
      <w:r w:rsidR="002E1B08" w:rsidRPr="002E1B08">
        <w:rPr>
          <w:b w:val="0"/>
          <w:bCs/>
          <w:color w:val="auto"/>
          <w:sz w:val="22"/>
          <w:szCs w:val="22"/>
        </w:rPr>
        <w:t>production is mainly from one site which has permission until 2035</w:t>
      </w:r>
      <w:r w:rsidR="002E1B08">
        <w:rPr>
          <w:b w:val="0"/>
          <w:bCs/>
          <w:color w:val="auto"/>
          <w:sz w:val="22"/>
          <w:szCs w:val="22"/>
        </w:rPr>
        <w:t xml:space="preserve">. </w:t>
      </w:r>
      <w:r w:rsidR="0015781F">
        <w:rPr>
          <w:b w:val="0"/>
          <w:bCs/>
          <w:color w:val="auto"/>
          <w:sz w:val="22"/>
          <w:szCs w:val="22"/>
        </w:rPr>
        <w:t>These concerns were material considerations</w:t>
      </w:r>
      <w:r w:rsidR="00C06DC6" w:rsidRPr="00D73374">
        <w:rPr>
          <w:b w:val="0"/>
          <w:bCs/>
          <w:color w:val="auto"/>
          <w:sz w:val="22"/>
          <w:szCs w:val="22"/>
        </w:rPr>
        <w:t xml:space="preserve"> in the</w:t>
      </w:r>
      <w:r w:rsidR="00693AF4" w:rsidRPr="00D73374">
        <w:rPr>
          <w:b w:val="0"/>
          <w:bCs/>
          <w:color w:val="auto"/>
          <w:sz w:val="22"/>
          <w:szCs w:val="22"/>
        </w:rPr>
        <w:t xml:space="preserve"> </w:t>
      </w:r>
      <w:proofErr w:type="gramStart"/>
      <w:r w:rsidR="00F32A3E" w:rsidRPr="00D73374">
        <w:rPr>
          <w:b w:val="0"/>
          <w:bCs/>
          <w:color w:val="auto"/>
          <w:sz w:val="22"/>
          <w:szCs w:val="22"/>
        </w:rPr>
        <w:t>decision making</w:t>
      </w:r>
      <w:proofErr w:type="gramEnd"/>
      <w:r w:rsidR="00F32A3E" w:rsidRPr="00D73374">
        <w:rPr>
          <w:b w:val="0"/>
          <w:bCs/>
          <w:color w:val="auto"/>
          <w:sz w:val="22"/>
          <w:szCs w:val="22"/>
        </w:rPr>
        <w:t xml:space="preserve"> process </w:t>
      </w:r>
      <w:r w:rsidR="00693AF4" w:rsidRPr="00D73374">
        <w:rPr>
          <w:b w:val="0"/>
          <w:bCs/>
          <w:color w:val="auto"/>
          <w:sz w:val="22"/>
          <w:szCs w:val="22"/>
        </w:rPr>
        <w:t>for</w:t>
      </w:r>
      <w:r w:rsidR="00F32A3E" w:rsidRPr="00D73374">
        <w:rPr>
          <w:b w:val="0"/>
          <w:bCs/>
          <w:color w:val="auto"/>
          <w:sz w:val="22"/>
          <w:szCs w:val="22"/>
        </w:rPr>
        <w:t xml:space="preserve"> new </w:t>
      </w:r>
      <w:r w:rsidR="00693AF4" w:rsidRPr="00D73374">
        <w:rPr>
          <w:b w:val="0"/>
          <w:bCs/>
          <w:color w:val="auto"/>
          <w:sz w:val="22"/>
          <w:szCs w:val="22"/>
        </w:rPr>
        <w:t xml:space="preserve">minerals </w:t>
      </w:r>
      <w:r w:rsidR="00F32A3E" w:rsidRPr="00D73374">
        <w:rPr>
          <w:b w:val="0"/>
          <w:bCs/>
          <w:color w:val="auto"/>
          <w:sz w:val="22"/>
          <w:szCs w:val="22"/>
        </w:rPr>
        <w:t>application</w:t>
      </w:r>
      <w:r w:rsidR="00693AF4" w:rsidRPr="00D73374">
        <w:rPr>
          <w:b w:val="0"/>
          <w:bCs/>
          <w:color w:val="auto"/>
          <w:sz w:val="22"/>
          <w:szCs w:val="22"/>
        </w:rPr>
        <w:t>s</w:t>
      </w:r>
      <w:r w:rsidR="002375D1">
        <w:rPr>
          <w:b w:val="0"/>
          <w:bCs/>
          <w:color w:val="auto"/>
          <w:sz w:val="22"/>
          <w:szCs w:val="22"/>
        </w:rPr>
        <w:t xml:space="preserve"> approved</w:t>
      </w:r>
      <w:r w:rsidR="00ED040E" w:rsidRPr="00D73374">
        <w:rPr>
          <w:b w:val="0"/>
          <w:bCs/>
          <w:color w:val="auto"/>
          <w:sz w:val="22"/>
          <w:szCs w:val="22"/>
        </w:rPr>
        <w:t xml:space="preserve"> in 2023</w:t>
      </w:r>
      <w:r w:rsidR="00F32A3E" w:rsidRPr="00D73374">
        <w:rPr>
          <w:b w:val="0"/>
          <w:bCs/>
          <w:color w:val="auto"/>
          <w:sz w:val="22"/>
          <w:szCs w:val="22"/>
        </w:rPr>
        <w:t xml:space="preserve">. </w:t>
      </w:r>
    </w:p>
    <w:p w14:paraId="203B7B9A" w14:textId="77777777" w:rsidR="00135F98" w:rsidRPr="000F7AA2" w:rsidRDefault="00135F98" w:rsidP="00D73374">
      <w:pPr>
        <w:pStyle w:val="Sub-heading"/>
        <w:spacing w:before="240" w:after="240" w:line="276" w:lineRule="auto"/>
        <w:jc w:val="left"/>
        <w:outlineLvl w:val="1"/>
        <w:rPr>
          <w:color w:val="auto"/>
          <w:sz w:val="24"/>
          <w:szCs w:val="24"/>
        </w:rPr>
      </w:pPr>
      <w:bookmarkStart w:id="41" w:name="_Toc473105758"/>
      <w:bookmarkStart w:id="42" w:name="_Toc500147130"/>
      <w:bookmarkStart w:id="43" w:name="_Toc522792104"/>
      <w:bookmarkStart w:id="44" w:name="_Toc198549810"/>
      <w:r w:rsidRPr="00F70119">
        <w:rPr>
          <w:color w:val="auto"/>
          <w:sz w:val="24"/>
          <w:szCs w:val="24"/>
        </w:rPr>
        <w:t>Secondary and Recycled Aggregate</w:t>
      </w:r>
      <w:bookmarkEnd w:id="41"/>
      <w:bookmarkEnd w:id="42"/>
      <w:bookmarkEnd w:id="43"/>
      <w:bookmarkEnd w:id="44"/>
    </w:p>
    <w:p w14:paraId="25017992" w14:textId="77777777" w:rsidR="00135F98" w:rsidRPr="00135F98" w:rsidRDefault="00135F98" w:rsidP="00D73374">
      <w:pPr>
        <w:numPr>
          <w:ilvl w:val="0"/>
          <w:numId w:val="3"/>
        </w:numPr>
        <w:spacing w:before="240" w:after="200" w:line="276" w:lineRule="auto"/>
        <w:rPr>
          <w:rFonts w:ascii="Arial" w:eastAsia="Times New Roman" w:hAnsi="Arial" w:cs="Arial"/>
        </w:rPr>
      </w:pPr>
      <w:r w:rsidRPr="00135F98">
        <w:rPr>
          <w:rFonts w:ascii="Arial" w:eastAsia="Times New Roman" w:hAnsi="Arial" w:cs="Arial"/>
        </w:rPr>
        <w:t>Recycled Aggregate, which includes inert materials such as concrete, stone, brick and other similar materials, are reprocessed materials previously used for construction purposes and which are often taken from the Construction, Demolition and Excavation (CD&amp;E) waste stream.  Secondary aggregates are usually by-products of industrial processes and can include materials such as clay, ash and slag.</w:t>
      </w:r>
    </w:p>
    <w:p w14:paraId="44A19979" w14:textId="77777777" w:rsidR="00135F98" w:rsidRPr="00135F98" w:rsidRDefault="00135F98" w:rsidP="00D73374">
      <w:pPr>
        <w:numPr>
          <w:ilvl w:val="0"/>
          <w:numId w:val="3"/>
        </w:numPr>
        <w:spacing w:before="240" w:after="200" w:line="276" w:lineRule="auto"/>
        <w:rPr>
          <w:rFonts w:ascii="Arial" w:eastAsia="Times New Roman" w:hAnsi="Arial" w:cs="Arial"/>
        </w:rPr>
      </w:pPr>
      <w:r w:rsidRPr="00135F98">
        <w:rPr>
          <w:rFonts w:ascii="Arial" w:eastAsia="Times New Roman" w:hAnsi="Arial" w:cs="Arial"/>
        </w:rPr>
        <w:t>The use of secondary and recycled materials not only reduces the requirement for new production of primary aggregate, but also reduces the need for disposal to landfill of CD&amp;E wa</w:t>
      </w:r>
      <w:r w:rsidR="00276C70">
        <w:rPr>
          <w:rFonts w:ascii="Arial" w:eastAsia="Times New Roman" w:hAnsi="Arial" w:cs="Arial"/>
        </w:rPr>
        <w:t xml:space="preserve">ste materials. National </w:t>
      </w:r>
      <w:r>
        <w:rPr>
          <w:rFonts w:ascii="Arial" w:eastAsia="Times New Roman" w:hAnsi="Arial" w:cs="Arial"/>
        </w:rPr>
        <w:t xml:space="preserve">Policy </w:t>
      </w:r>
      <w:r w:rsidRPr="00135F98">
        <w:rPr>
          <w:rFonts w:ascii="Arial" w:eastAsia="Times New Roman" w:hAnsi="Arial" w:cs="Arial"/>
        </w:rPr>
        <w:t xml:space="preserve">recognises </w:t>
      </w:r>
      <w:r>
        <w:rPr>
          <w:rFonts w:ascii="Arial" w:eastAsia="Times New Roman" w:hAnsi="Arial" w:cs="Arial"/>
        </w:rPr>
        <w:t>the role</w:t>
      </w:r>
      <w:r w:rsidRPr="00135F98">
        <w:rPr>
          <w:rFonts w:ascii="Arial" w:eastAsia="Times New Roman" w:hAnsi="Arial" w:cs="Arial"/>
        </w:rPr>
        <w:t xml:space="preserve"> of secondary and recycled materials as an alternative to primary aggregate.</w:t>
      </w:r>
    </w:p>
    <w:p w14:paraId="0689A315" w14:textId="023B4A21" w:rsidR="00135F98" w:rsidRPr="00A73EEA" w:rsidRDefault="00135F98" w:rsidP="00D73374">
      <w:pPr>
        <w:numPr>
          <w:ilvl w:val="0"/>
          <w:numId w:val="3"/>
        </w:numPr>
        <w:spacing w:before="240" w:after="200" w:line="276" w:lineRule="auto"/>
        <w:rPr>
          <w:rFonts w:ascii="Arial" w:eastAsia="Times New Roman" w:hAnsi="Arial" w:cs="Arial"/>
        </w:rPr>
      </w:pPr>
      <w:r w:rsidRPr="00A73EEA">
        <w:rPr>
          <w:rFonts w:ascii="Arial" w:eastAsia="Times New Roman" w:hAnsi="Arial" w:cs="Arial"/>
        </w:rPr>
        <w:lastRenderedPageBreak/>
        <w:t>Data on secondary and recycled aggregate production and use is variable and incomplete.  The reason being some sites operate und</w:t>
      </w:r>
      <w:r w:rsidR="00276C70">
        <w:rPr>
          <w:rFonts w:ascii="Arial" w:eastAsia="Times New Roman" w:hAnsi="Arial" w:cs="Arial"/>
        </w:rPr>
        <w:t>er license and can be monitored but</w:t>
      </w:r>
      <w:r w:rsidRPr="00A73EEA">
        <w:rPr>
          <w:rFonts w:ascii="Arial" w:eastAsia="Times New Roman" w:hAnsi="Arial" w:cs="Arial"/>
        </w:rPr>
        <w:t xml:space="preserve"> much recycling and re-use occurs on individual construction sites and is temporary in nature and does not produce data.  </w:t>
      </w:r>
      <w:r w:rsidR="004F0960">
        <w:rPr>
          <w:rFonts w:ascii="Arial" w:eastAsia="Times New Roman" w:hAnsi="Arial" w:cs="Arial"/>
        </w:rPr>
        <w:t>Monitoring r</w:t>
      </w:r>
      <w:r w:rsidR="007B715C">
        <w:rPr>
          <w:rFonts w:ascii="Arial" w:eastAsia="Times New Roman" w:hAnsi="Arial" w:cs="Arial"/>
        </w:rPr>
        <w:t>eturns</w:t>
      </w:r>
      <w:r w:rsidR="004F0960">
        <w:rPr>
          <w:rFonts w:ascii="Arial" w:eastAsia="Times New Roman" w:hAnsi="Arial" w:cs="Arial"/>
        </w:rPr>
        <w:t xml:space="preserve"> for secondary and recycled aggregates </w:t>
      </w:r>
      <w:r w:rsidR="00A61EF6">
        <w:rPr>
          <w:rFonts w:ascii="Arial" w:eastAsia="Times New Roman" w:hAnsi="Arial" w:cs="Arial"/>
        </w:rPr>
        <w:t>are rarely received</w:t>
      </w:r>
      <w:r w:rsidR="00F364B0">
        <w:rPr>
          <w:rFonts w:ascii="Arial" w:eastAsia="Times New Roman" w:hAnsi="Arial" w:cs="Arial"/>
        </w:rPr>
        <w:t xml:space="preserve"> </w:t>
      </w:r>
      <w:proofErr w:type="spellStart"/>
      <w:r w:rsidR="00F364B0">
        <w:rPr>
          <w:rFonts w:ascii="Arial" w:eastAsia="Times New Roman" w:hAnsi="Arial" w:cs="Arial"/>
        </w:rPr>
        <w:t>s</w:t>
      </w:r>
      <w:proofErr w:type="spellEnd"/>
      <w:r w:rsidR="00F364B0">
        <w:rPr>
          <w:rFonts w:ascii="Arial" w:eastAsia="Times New Roman" w:hAnsi="Arial" w:cs="Arial"/>
        </w:rPr>
        <w:t xml:space="preserve"> t</w:t>
      </w:r>
      <w:r w:rsidRPr="00A73EEA">
        <w:rPr>
          <w:rFonts w:ascii="Arial" w:eastAsia="Times New Roman" w:hAnsi="Arial" w:cs="Arial"/>
        </w:rPr>
        <w:t>he Environment Agencies Waste Data Interrogator</w:t>
      </w:r>
      <w:r w:rsidR="00276C70">
        <w:rPr>
          <w:rFonts w:ascii="Arial" w:eastAsia="Times New Roman" w:hAnsi="Arial" w:cs="Arial"/>
        </w:rPr>
        <w:t xml:space="preserve"> is</w:t>
      </w:r>
      <w:r w:rsidRPr="00A73EEA">
        <w:rPr>
          <w:rFonts w:ascii="Arial" w:eastAsia="Times New Roman" w:hAnsi="Arial" w:cs="Arial"/>
        </w:rPr>
        <w:t xml:space="preserve"> used to identify the amount of CD&amp;E waste produced and handled within each Waste Authority</w:t>
      </w:r>
      <w:r w:rsidR="00A73EEA" w:rsidRPr="00A73EEA">
        <w:rPr>
          <w:rFonts w:ascii="Arial" w:eastAsia="Times New Roman" w:hAnsi="Arial" w:cs="Arial"/>
        </w:rPr>
        <w:t xml:space="preserve">. </w:t>
      </w:r>
    </w:p>
    <w:p w14:paraId="69421439" w14:textId="77777777" w:rsidR="00135F98" w:rsidRPr="00ED6723" w:rsidRDefault="00135F98" w:rsidP="00D73374">
      <w:pPr>
        <w:numPr>
          <w:ilvl w:val="0"/>
          <w:numId w:val="3"/>
        </w:numPr>
        <w:spacing w:before="240" w:after="200" w:line="276" w:lineRule="auto"/>
        <w:rPr>
          <w:rFonts w:ascii="Arial" w:eastAsia="Times New Roman" w:hAnsi="Arial" w:cs="Arial"/>
        </w:rPr>
      </w:pPr>
      <w:r w:rsidRPr="00ED6723">
        <w:rPr>
          <w:rFonts w:ascii="Arial" w:eastAsia="Times New Roman" w:hAnsi="Arial" w:cs="Arial"/>
        </w:rPr>
        <w:t xml:space="preserve">The </w:t>
      </w:r>
      <w:hyperlink r:id="rId20" w:history="1">
        <w:r w:rsidRPr="00ED6723">
          <w:rPr>
            <w:rStyle w:val="Hyperlink"/>
            <w:rFonts w:ascii="Arial" w:hAnsi="Arial" w:cs="Arial"/>
          </w:rPr>
          <w:t>Barnsley, Doncaster and Rotherham Joint Waste Plan</w:t>
        </w:r>
      </w:hyperlink>
      <w:r w:rsidRPr="00ED6723">
        <w:rPr>
          <w:rFonts w:ascii="Arial" w:eastAsia="Times New Roman" w:hAnsi="Arial" w:cs="Arial"/>
        </w:rPr>
        <w:t xml:space="preserve"> (adopted in early 2012) identifies and safeguards a range of waste facilities across three boroughs to maximise recycling, divert waste from landfill and create a range of ‘green’ jobs. It deals with all varieties of waste including construction, demolition and excavation waste (CDEW). </w:t>
      </w:r>
    </w:p>
    <w:p w14:paraId="2ED0330B" w14:textId="37978F08" w:rsidR="00804D8F" w:rsidRDefault="007F58A4" w:rsidP="00D73374">
      <w:pPr>
        <w:numPr>
          <w:ilvl w:val="0"/>
          <w:numId w:val="3"/>
        </w:numPr>
        <w:spacing w:before="240" w:after="200" w:line="276" w:lineRule="auto"/>
        <w:rPr>
          <w:rFonts w:ascii="Arial" w:eastAsia="Times New Roman" w:hAnsi="Arial" w:cs="Arial"/>
        </w:rPr>
      </w:pPr>
      <w:r>
        <w:rPr>
          <w:rFonts w:ascii="Arial" w:eastAsia="Times New Roman" w:hAnsi="Arial" w:cs="Arial"/>
        </w:rPr>
        <w:t>Given t</w:t>
      </w:r>
      <w:r w:rsidR="00135F98" w:rsidRPr="00A73EEA">
        <w:rPr>
          <w:rFonts w:ascii="Arial" w:eastAsia="Times New Roman" w:hAnsi="Arial" w:cs="Arial"/>
        </w:rPr>
        <w:t xml:space="preserve">he information contained in the 2012 </w:t>
      </w:r>
      <w:r w:rsidR="00145C58">
        <w:rPr>
          <w:rFonts w:ascii="Arial" w:eastAsia="Times New Roman" w:hAnsi="Arial" w:cs="Arial"/>
        </w:rPr>
        <w:t xml:space="preserve">BDR Waste </w:t>
      </w:r>
      <w:r w:rsidR="00131B30">
        <w:rPr>
          <w:rFonts w:ascii="Arial" w:eastAsia="Times New Roman" w:hAnsi="Arial" w:cs="Arial"/>
        </w:rPr>
        <w:t>P</w:t>
      </w:r>
      <w:r w:rsidR="00135F98" w:rsidRPr="00A73EEA">
        <w:rPr>
          <w:rFonts w:ascii="Arial" w:eastAsia="Times New Roman" w:hAnsi="Arial" w:cs="Arial"/>
        </w:rPr>
        <w:t>lan</w:t>
      </w:r>
      <w:r w:rsidR="00804D8F">
        <w:rPr>
          <w:rFonts w:ascii="Arial" w:eastAsia="Times New Roman" w:hAnsi="Arial" w:cs="Arial"/>
        </w:rPr>
        <w:t xml:space="preserve"> </w:t>
      </w:r>
      <w:r w:rsidR="001C2DF2">
        <w:rPr>
          <w:rFonts w:ascii="Arial" w:eastAsia="Times New Roman" w:hAnsi="Arial" w:cs="Arial"/>
        </w:rPr>
        <w:t>is increasingly out of date</w:t>
      </w:r>
      <w:r w:rsidR="00804D8F">
        <w:rPr>
          <w:rFonts w:ascii="Arial" w:eastAsia="Times New Roman" w:hAnsi="Arial" w:cs="Arial"/>
        </w:rPr>
        <w:t xml:space="preserve"> the South Yorkshire Authorities commissioned an up-to-date Waste Needs Assessment</w:t>
      </w:r>
      <w:r w:rsidR="00D2027C">
        <w:rPr>
          <w:rFonts w:ascii="Arial" w:eastAsia="Times New Roman" w:hAnsi="Arial" w:cs="Arial"/>
        </w:rPr>
        <w:t xml:space="preserve"> (WNA)</w:t>
      </w:r>
      <w:r w:rsidR="00804D8F">
        <w:rPr>
          <w:rFonts w:ascii="Arial" w:eastAsia="Times New Roman" w:hAnsi="Arial" w:cs="Arial"/>
        </w:rPr>
        <w:t xml:space="preserve"> covering all four South Yorkshire Authorities. </w:t>
      </w:r>
    </w:p>
    <w:p w14:paraId="7CDCE10E" w14:textId="39E2ABFE" w:rsidR="00135F98" w:rsidRDefault="00135F98" w:rsidP="00D73374">
      <w:pPr>
        <w:numPr>
          <w:ilvl w:val="0"/>
          <w:numId w:val="3"/>
        </w:numPr>
        <w:spacing w:before="240" w:after="200" w:line="276" w:lineRule="auto"/>
        <w:rPr>
          <w:rFonts w:ascii="Arial" w:eastAsia="Times New Roman" w:hAnsi="Arial" w:cs="Arial"/>
        </w:rPr>
      </w:pPr>
      <w:r w:rsidRPr="00A73EEA">
        <w:rPr>
          <w:rFonts w:ascii="Arial" w:eastAsia="Times New Roman" w:hAnsi="Arial" w:cs="Arial"/>
        </w:rPr>
        <w:t xml:space="preserve">The </w:t>
      </w:r>
      <w:hyperlink r:id="rId21" w:history="1">
        <w:r w:rsidR="002840FA" w:rsidRPr="002840FA">
          <w:rPr>
            <w:rStyle w:val="Hyperlink"/>
            <w:rFonts w:ascii="Arial" w:eastAsia="Times New Roman" w:hAnsi="Arial" w:cs="Arial"/>
          </w:rPr>
          <w:t xml:space="preserve">South Yorkshire </w:t>
        </w:r>
        <w:r w:rsidRPr="002840FA">
          <w:rPr>
            <w:rStyle w:val="Hyperlink"/>
            <w:rFonts w:ascii="Arial" w:eastAsia="Times New Roman" w:hAnsi="Arial" w:cs="Arial"/>
          </w:rPr>
          <w:t>Waste</w:t>
        </w:r>
        <w:r w:rsidR="00DB7F62" w:rsidRPr="002840FA">
          <w:rPr>
            <w:rStyle w:val="Hyperlink"/>
            <w:rFonts w:ascii="Arial" w:eastAsia="Times New Roman" w:hAnsi="Arial" w:cs="Arial"/>
          </w:rPr>
          <w:t xml:space="preserve"> Needs Assessmen</w:t>
        </w:r>
        <w:r w:rsidR="002840FA">
          <w:rPr>
            <w:rStyle w:val="Hyperlink"/>
            <w:rFonts w:ascii="Arial" w:eastAsia="Times New Roman" w:hAnsi="Arial" w:cs="Arial"/>
          </w:rPr>
          <w:t>t (2021-2041)</w:t>
        </w:r>
      </w:hyperlink>
      <w:r w:rsidR="00DB7F62">
        <w:rPr>
          <w:rFonts w:ascii="Arial" w:eastAsia="Times New Roman" w:hAnsi="Arial" w:cs="Arial"/>
        </w:rPr>
        <w:t xml:space="preserve"> identifies the Waste Planning Authorities of South Yorkshire jointly produce just under </w:t>
      </w:r>
      <w:r w:rsidR="00D2027C">
        <w:rPr>
          <w:rFonts w:ascii="Arial" w:eastAsia="Times New Roman" w:hAnsi="Arial" w:cs="Arial"/>
        </w:rPr>
        <w:t>3Mt</w:t>
      </w:r>
      <w:r w:rsidR="00DB7F62">
        <w:rPr>
          <w:rFonts w:ascii="Arial" w:eastAsia="Times New Roman" w:hAnsi="Arial" w:cs="Arial"/>
        </w:rPr>
        <w:t xml:space="preserve"> of various wast</w:t>
      </w:r>
      <w:r w:rsidR="00D2027C">
        <w:rPr>
          <w:rFonts w:ascii="Arial" w:eastAsia="Times New Roman" w:hAnsi="Arial" w:cs="Arial"/>
        </w:rPr>
        <w:t>e types per annum, of this 1.3</w:t>
      </w:r>
      <w:r w:rsidR="00DB7F62">
        <w:rPr>
          <w:rFonts w:ascii="Arial" w:eastAsia="Times New Roman" w:hAnsi="Arial" w:cs="Arial"/>
        </w:rPr>
        <w:t>Mt is Construction, Demolition and Excavation waste</w:t>
      </w:r>
      <w:r w:rsidR="00464822">
        <w:rPr>
          <w:rFonts w:ascii="Arial" w:eastAsia="Times New Roman" w:hAnsi="Arial" w:cs="Arial"/>
        </w:rPr>
        <w:t xml:space="preserve"> (CD&amp;E)</w:t>
      </w:r>
      <w:r w:rsidR="00DB7F62">
        <w:rPr>
          <w:rFonts w:ascii="Arial" w:eastAsia="Times New Roman" w:hAnsi="Arial" w:cs="Arial"/>
        </w:rPr>
        <w:t xml:space="preserve">. </w:t>
      </w:r>
    </w:p>
    <w:p w14:paraId="33AD9CA3" w14:textId="6CA4F04D" w:rsidR="007D75D2" w:rsidRPr="007D75D2" w:rsidRDefault="00D2027C" w:rsidP="00C14DC5">
      <w:pPr>
        <w:numPr>
          <w:ilvl w:val="0"/>
          <w:numId w:val="3"/>
        </w:numPr>
        <w:spacing w:before="240" w:after="200" w:line="276" w:lineRule="auto"/>
        <w:rPr>
          <w:rFonts w:ascii="Arial" w:eastAsia="Times New Roman" w:hAnsi="Arial" w:cs="Arial"/>
        </w:rPr>
      </w:pPr>
      <w:r w:rsidRPr="008D09B0">
        <w:rPr>
          <w:rFonts w:ascii="Arial" w:eastAsia="Times New Roman" w:hAnsi="Arial" w:cs="Arial"/>
        </w:rPr>
        <w:t>CD&amp;E waste refers to</w:t>
      </w:r>
      <w:r w:rsidR="00994485" w:rsidRPr="008D09B0">
        <w:rPr>
          <w:rFonts w:ascii="Arial" w:eastAsia="Times New Roman" w:hAnsi="Arial" w:cs="Arial"/>
        </w:rPr>
        <w:t xml:space="preserve"> waste materials that arise from the construction or demolition of buildings and/or civil engineering infrastructure, including hard construction and demolition waste, and excavation waste (and soils). Hard construction and demolition waste may include concrete, bricks, tiles, bituminous mixtures, railway ballast, and mixtures of the various components. Excavation waste may include clean and contaminated soil, stone, and rocks arising from land levelling, filling, and/or general foundations. </w:t>
      </w:r>
      <w:proofErr w:type="gramStart"/>
      <w:r w:rsidR="00994485" w:rsidRPr="008D09B0">
        <w:rPr>
          <w:rFonts w:ascii="Arial" w:eastAsia="Times New Roman" w:hAnsi="Arial" w:cs="Arial"/>
        </w:rPr>
        <w:t>The majority of</w:t>
      </w:r>
      <w:proofErr w:type="gramEnd"/>
      <w:r w:rsidR="00994485" w:rsidRPr="008D09B0">
        <w:rPr>
          <w:rFonts w:ascii="Arial" w:eastAsia="Times New Roman" w:hAnsi="Arial" w:cs="Arial"/>
        </w:rPr>
        <w:t xml:space="preserve"> this type of waste is made from inert materials such as concrete, rubble, and soils. A small proportion of CD&amp;E waste is non-inert materials such as wood, metals, and plastic that can be managed via non-hazardous waste treatment facilities. CD&amp;E waste may also include hazardous waste materials such as lead, asbestos, liquid paints, oils, etc. CD&amp;E waste contains a high proportion of recyclable materials. </w:t>
      </w:r>
      <w:r w:rsidR="00710BC9" w:rsidRPr="008D09B0">
        <w:rPr>
          <w:rFonts w:ascii="Arial" w:eastAsia="Times New Roman" w:hAnsi="Arial" w:cs="Arial"/>
        </w:rPr>
        <w:t>See sections</w:t>
      </w:r>
      <w:r w:rsidR="00C84394" w:rsidRPr="008D09B0">
        <w:rPr>
          <w:rFonts w:ascii="Arial" w:eastAsia="Times New Roman" w:hAnsi="Arial" w:cs="Arial"/>
        </w:rPr>
        <w:t xml:space="preserve"> on Construction, demolition and excavation (CD&amp;E) waste on pages </w:t>
      </w:r>
      <w:r w:rsidR="00D7411A" w:rsidRPr="008D09B0">
        <w:rPr>
          <w:rFonts w:ascii="Arial" w:eastAsia="Times New Roman" w:hAnsi="Arial" w:cs="Arial"/>
        </w:rPr>
        <w:t xml:space="preserve">14 </w:t>
      </w:r>
      <w:r w:rsidR="001B2439" w:rsidRPr="008D09B0">
        <w:rPr>
          <w:rFonts w:ascii="Arial" w:eastAsia="Times New Roman" w:hAnsi="Arial" w:cs="Arial"/>
        </w:rPr>
        <w:t>to</w:t>
      </w:r>
      <w:r w:rsidR="00D7411A" w:rsidRPr="008D09B0">
        <w:rPr>
          <w:rFonts w:ascii="Arial" w:eastAsia="Times New Roman" w:hAnsi="Arial" w:cs="Arial"/>
        </w:rPr>
        <w:t xml:space="preserve"> 1</w:t>
      </w:r>
      <w:r w:rsidR="001B2439" w:rsidRPr="008D09B0">
        <w:rPr>
          <w:rFonts w:ascii="Arial" w:eastAsia="Times New Roman" w:hAnsi="Arial" w:cs="Arial"/>
        </w:rPr>
        <w:t>7</w:t>
      </w:r>
      <w:r w:rsidR="00D7411A" w:rsidRPr="008D09B0">
        <w:rPr>
          <w:rFonts w:ascii="Arial" w:eastAsia="Times New Roman" w:hAnsi="Arial" w:cs="Arial"/>
        </w:rPr>
        <w:t xml:space="preserve">, and </w:t>
      </w:r>
      <w:r w:rsidR="000B73A5" w:rsidRPr="008D09B0">
        <w:rPr>
          <w:rFonts w:ascii="Arial" w:eastAsia="Times New Roman" w:hAnsi="Arial" w:cs="Arial"/>
        </w:rPr>
        <w:t xml:space="preserve">24 to </w:t>
      </w:r>
      <w:r w:rsidR="009D30AE" w:rsidRPr="008D09B0">
        <w:rPr>
          <w:rFonts w:ascii="Arial" w:eastAsia="Times New Roman" w:hAnsi="Arial" w:cs="Arial"/>
        </w:rPr>
        <w:t>30</w:t>
      </w:r>
      <w:r w:rsidR="000B73A5" w:rsidRPr="008D09B0">
        <w:rPr>
          <w:rFonts w:ascii="Arial" w:eastAsia="Times New Roman" w:hAnsi="Arial" w:cs="Arial"/>
        </w:rPr>
        <w:t xml:space="preserve"> in the South Yorkshire Waste Needs</w:t>
      </w:r>
      <w:r w:rsidR="00B86108">
        <w:rPr>
          <w:rFonts w:ascii="Arial" w:eastAsia="Times New Roman" w:hAnsi="Arial" w:cs="Arial"/>
        </w:rPr>
        <w:t xml:space="preserve"> </w:t>
      </w:r>
      <w:r w:rsidR="000B73A5" w:rsidRPr="008D09B0">
        <w:rPr>
          <w:rFonts w:ascii="Arial" w:eastAsia="Times New Roman" w:hAnsi="Arial" w:cs="Arial"/>
        </w:rPr>
        <w:t>Assessment.</w:t>
      </w:r>
      <w:r w:rsidR="00CE4C62">
        <w:rPr>
          <w:rFonts w:ascii="Arial" w:eastAsia="Times New Roman" w:hAnsi="Arial" w:cs="Arial"/>
        </w:rPr>
        <w:t xml:space="preserve"> </w:t>
      </w:r>
      <w:r w:rsidR="007F3F73">
        <w:rPr>
          <w:rFonts w:ascii="Arial" w:eastAsia="Times New Roman" w:hAnsi="Arial" w:cs="Arial"/>
        </w:rPr>
        <w:t>The data presented in</w:t>
      </w:r>
      <w:r w:rsidR="000A67C8">
        <w:rPr>
          <w:rFonts w:ascii="Arial" w:eastAsia="Times New Roman" w:hAnsi="Arial" w:cs="Arial"/>
        </w:rPr>
        <w:t xml:space="preserve"> </w:t>
      </w:r>
      <w:r w:rsidR="004E1DB6">
        <w:rPr>
          <w:rFonts w:ascii="Arial" w:eastAsia="Times New Roman" w:hAnsi="Arial" w:cs="Arial"/>
        </w:rPr>
        <w:t>T</w:t>
      </w:r>
      <w:r w:rsidR="000A67C8">
        <w:rPr>
          <w:rFonts w:ascii="Arial" w:eastAsia="Times New Roman" w:hAnsi="Arial" w:cs="Arial"/>
        </w:rPr>
        <w:t>able</w:t>
      </w:r>
      <w:r w:rsidR="007F3F73">
        <w:rPr>
          <w:rFonts w:ascii="Arial" w:eastAsia="Times New Roman" w:hAnsi="Arial" w:cs="Arial"/>
        </w:rPr>
        <w:t xml:space="preserve"> </w:t>
      </w:r>
      <w:r w:rsidR="0066405B">
        <w:rPr>
          <w:rFonts w:ascii="Arial" w:eastAsia="Times New Roman" w:hAnsi="Arial" w:cs="Arial"/>
        </w:rPr>
        <w:t>9</w:t>
      </w:r>
      <w:r w:rsidR="007F3F73">
        <w:rPr>
          <w:rFonts w:ascii="Arial" w:eastAsia="Times New Roman" w:hAnsi="Arial" w:cs="Arial"/>
        </w:rPr>
        <w:t xml:space="preserve"> </w:t>
      </w:r>
      <w:r w:rsidR="004E1DB6">
        <w:rPr>
          <w:rFonts w:ascii="Arial" w:eastAsia="Times New Roman" w:hAnsi="Arial" w:cs="Arial"/>
        </w:rPr>
        <w:t>is sourced from the 2023 WDI</w:t>
      </w:r>
      <w:r w:rsidR="00CF604C">
        <w:rPr>
          <w:rFonts w:ascii="Arial" w:eastAsia="Times New Roman" w:hAnsi="Arial" w:cs="Arial"/>
        </w:rPr>
        <w:t xml:space="preserve">. </w:t>
      </w:r>
      <w:r w:rsidR="00850259">
        <w:rPr>
          <w:rFonts w:ascii="Arial" w:eastAsia="Times New Roman" w:hAnsi="Arial" w:cs="Arial"/>
        </w:rPr>
        <w:t xml:space="preserve">Appendix four provides a list of site categories and waste codes </w:t>
      </w:r>
      <w:r w:rsidR="008D09B0">
        <w:rPr>
          <w:rFonts w:ascii="Arial" w:eastAsia="Times New Roman" w:hAnsi="Arial" w:cs="Arial"/>
        </w:rPr>
        <w:t>used</w:t>
      </w:r>
      <w:r w:rsidR="00850259">
        <w:rPr>
          <w:rFonts w:ascii="Arial" w:eastAsia="Times New Roman" w:hAnsi="Arial" w:cs="Arial"/>
        </w:rPr>
        <w:t xml:space="preserve"> </w:t>
      </w:r>
      <w:r w:rsidR="0066405B">
        <w:rPr>
          <w:rFonts w:ascii="Arial" w:eastAsia="Times New Roman" w:hAnsi="Arial" w:cs="Arial"/>
        </w:rPr>
        <w:t>to</w:t>
      </w:r>
      <w:r w:rsidR="008D09B0">
        <w:rPr>
          <w:rFonts w:ascii="Arial" w:eastAsia="Times New Roman" w:hAnsi="Arial" w:cs="Arial"/>
        </w:rPr>
        <w:t xml:space="preserve"> create</w:t>
      </w:r>
      <w:r w:rsidR="0066405B">
        <w:rPr>
          <w:rFonts w:ascii="Arial" w:eastAsia="Times New Roman" w:hAnsi="Arial" w:cs="Arial"/>
        </w:rPr>
        <w:t xml:space="preserve"> the data </w:t>
      </w:r>
      <w:r w:rsidR="00850259">
        <w:rPr>
          <w:rFonts w:ascii="Arial" w:eastAsia="Times New Roman" w:hAnsi="Arial" w:cs="Arial"/>
        </w:rPr>
        <w:t xml:space="preserve">in the </w:t>
      </w:r>
      <w:r w:rsidR="002F2D70">
        <w:rPr>
          <w:rFonts w:ascii="Arial" w:eastAsia="Times New Roman" w:hAnsi="Arial" w:cs="Arial"/>
        </w:rPr>
        <w:t xml:space="preserve">table. </w:t>
      </w:r>
    </w:p>
    <w:p w14:paraId="45C74AFF" w14:textId="5B7A91D1" w:rsidR="00B778FA" w:rsidRDefault="00C1343A" w:rsidP="00C14DC5">
      <w:pPr>
        <w:numPr>
          <w:ilvl w:val="0"/>
          <w:numId w:val="3"/>
        </w:numPr>
        <w:spacing w:before="240" w:after="200" w:line="276" w:lineRule="auto"/>
        <w:rPr>
          <w:rFonts w:ascii="Arial" w:eastAsia="Times New Roman" w:hAnsi="Arial" w:cs="Arial"/>
        </w:rPr>
      </w:pPr>
      <w:r w:rsidRPr="002F2D70">
        <w:rPr>
          <w:rFonts w:ascii="Arial" w:eastAsia="Times New Roman" w:hAnsi="Arial" w:cs="Arial"/>
        </w:rPr>
        <w:t xml:space="preserve">The EA Waste Data </w:t>
      </w:r>
      <w:r w:rsidR="00A97CA5" w:rsidRPr="002F2D70">
        <w:rPr>
          <w:rFonts w:ascii="Arial" w:eastAsia="Times New Roman" w:hAnsi="Arial" w:cs="Arial"/>
        </w:rPr>
        <w:t>Interrogator</w:t>
      </w:r>
      <w:r w:rsidR="00A31BEA" w:rsidRPr="002F2D70">
        <w:rPr>
          <w:rFonts w:ascii="Arial" w:eastAsia="Times New Roman" w:hAnsi="Arial" w:cs="Arial"/>
        </w:rPr>
        <w:t xml:space="preserve"> </w:t>
      </w:r>
      <w:r w:rsidR="00A31BEA" w:rsidRPr="00325DE5">
        <w:rPr>
          <w:rFonts w:ascii="Arial" w:eastAsia="Times New Roman" w:hAnsi="Arial" w:cs="Arial"/>
        </w:rPr>
        <w:t>202</w:t>
      </w:r>
      <w:r w:rsidR="00BD12AB" w:rsidRPr="00325DE5">
        <w:rPr>
          <w:rFonts w:ascii="Arial" w:eastAsia="Times New Roman" w:hAnsi="Arial" w:cs="Arial"/>
        </w:rPr>
        <w:t>3</w:t>
      </w:r>
      <w:r w:rsidRPr="002F2D70">
        <w:rPr>
          <w:rFonts w:ascii="Arial" w:eastAsia="Times New Roman" w:hAnsi="Arial" w:cs="Arial"/>
        </w:rPr>
        <w:t xml:space="preserve"> </w:t>
      </w:r>
      <w:r w:rsidR="00A97CA5" w:rsidRPr="002F2D70">
        <w:rPr>
          <w:rFonts w:ascii="Arial" w:eastAsia="Times New Roman" w:hAnsi="Arial" w:cs="Arial"/>
        </w:rPr>
        <w:t xml:space="preserve">identifies </w:t>
      </w:r>
      <w:r w:rsidR="008C4EAC" w:rsidRPr="002F2D70">
        <w:rPr>
          <w:rFonts w:ascii="Arial" w:eastAsia="Times New Roman" w:hAnsi="Arial" w:cs="Arial"/>
        </w:rPr>
        <w:t>30</w:t>
      </w:r>
      <w:r w:rsidR="00A97CA5" w:rsidRPr="002F2D70">
        <w:rPr>
          <w:rFonts w:ascii="Arial" w:eastAsia="Times New Roman" w:hAnsi="Arial" w:cs="Arial"/>
        </w:rPr>
        <w:t xml:space="preserve"> </w:t>
      </w:r>
      <w:r w:rsidR="009B7AA6" w:rsidRPr="002F2D70">
        <w:rPr>
          <w:rFonts w:ascii="Arial" w:eastAsia="Times New Roman" w:hAnsi="Arial" w:cs="Arial"/>
        </w:rPr>
        <w:t xml:space="preserve">Doncaster </w:t>
      </w:r>
      <w:r w:rsidR="00A31BEA" w:rsidRPr="002F2D70">
        <w:rPr>
          <w:rFonts w:ascii="Arial" w:eastAsia="Times New Roman" w:hAnsi="Arial" w:cs="Arial"/>
        </w:rPr>
        <w:t>sites</w:t>
      </w:r>
      <w:r w:rsidR="00864A20" w:rsidRPr="002F2D70">
        <w:rPr>
          <w:rStyle w:val="FootnoteReference"/>
          <w:rFonts w:ascii="Arial" w:eastAsia="Times New Roman" w:hAnsi="Arial" w:cs="Arial"/>
        </w:rPr>
        <w:footnoteReference w:id="14"/>
      </w:r>
      <w:r w:rsidR="00A31BEA" w:rsidRPr="002F2D70">
        <w:rPr>
          <w:rFonts w:ascii="Arial" w:eastAsia="Times New Roman" w:hAnsi="Arial" w:cs="Arial"/>
        </w:rPr>
        <w:t xml:space="preserve"> </w:t>
      </w:r>
      <w:r w:rsidR="002837B0" w:rsidRPr="002F2D70">
        <w:rPr>
          <w:rFonts w:ascii="Arial" w:eastAsia="Times New Roman" w:hAnsi="Arial" w:cs="Arial"/>
        </w:rPr>
        <w:t>and 22 Rotherham sites</w:t>
      </w:r>
      <w:r w:rsidR="002837B0" w:rsidRPr="002F2D70">
        <w:rPr>
          <w:rFonts w:ascii="Arial" w:eastAsia="Times New Roman" w:hAnsi="Arial" w:cs="Arial"/>
          <w:vertAlign w:val="superscript"/>
        </w:rPr>
        <w:t>13</w:t>
      </w:r>
      <w:r w:rsidR="002837B0" w:rsidRPr="002F2D70">
        <w:rPr>
          <w:rFonts w:ascii="Arial" w:eastAsia="Times New Roman" w:hAnsi="Arial" w:cs="Arial"/>
        </w:rPr>
        <w:t xml:space="preserve"> </w:t>
      </w:r>
      <w:r w:rsidR="00EC1E3A" w:rsidRPr="002F2D70">
        <w:rPr>
          <w:rFonts w:ascii="Arial" w:eastAsia="Times New Roman" w:hAnsi="Arial" w:cs="Arial"/>
        </w:rPr>
        <w:t>dealing with</w:t>
      </w:r>
      <w:r w:rsidR="005C121A" w:rsidRPr="002F2D70">
        <w:rPr>
          <w:rFonts w:ascii="Arial" w:eastAsia="Times New Roman" w:hAnsi="Arial" w:cs="Arial"/>
        </w:rPr>
        <w:t xml:space="preserve"> CD</w:t>
      </w:r>
      <w:r w:rsidR="00400CEA" w:rsidRPr="002F2D70">
        <w:rPr>
          <w:rFonts w:ascii="Arial" w:eastAsia="Times New Roman" w:hAnsi="Arial" w:cs="Arial"/>
        </w:rPr>
        <w:t>&amp;</w:t>
      </w:r>
      <w:r w:rsidR="005C121A" w:rsidRPr="002F2D70">
        <w:rPr>
          <w:rFonts w:ascii="Arial" w:eastAsia="Times New Roman" w:hAnsi="Arial" w:cs="Arial"/>
        </w:rPr>
        <w:t>E</w:t>
      </w:r>
      <w:r w:rsidR="00501602" w:rsidRPr="002F2D70">
        <w:rPr>
          <w:rFonts w:ascii="Arial" w:eastAsia="Times New Roman" w:hAnsi="Arial" w:cs="Arial"/>
        </w:rPr>
        <w:t>/</w:t>
      </w:r>
      <w:r w:rsidR="00C2730A" w:rsidRPr="002F2D70">
        <w:rPr>
          <w:rFonts w:ascii="Arial" w:eastAsia="Times New Roman" w:hAnsi="Arial" w:cs="Arial"/>
        </w:rPr>
        <w:t xml:space="preserve"> ‘SOC Category: Mineral Waste’ (</w:t>
      </w:r>
      <w:r w:rsidR="00C2730A" w:rsidRPr="00083DCB">
        <w:rPr>
          <w:rFonts w:ascii="Arial" w:eastAsia="Times New Roman" w:hAnsi="Arial" w:cs="Arial"/>
        </w:rPr>
        <w:t xml:space="preserve">which includes combustion waste, naturally </w:t>
      </w:r>
      <w:r w:rsidR="009B7AA6" w:rsidRPr="00083DCB">
        <w:rPr>
          <w:rFonts w:ascii="Arial" w:eastAsia="Times New Roman" w:hAnsi="Arial" w:cs="Arial"/>
        </w:rPr>
        <w:t xml:space="preserve">occurring </w:t>
      </w:r>
      <w:r w:rsidR="00C2730A" w:rsidRPr="00083DCB">
        <w:rPr>
          <w:rFonts w:ascii="Arial" w:eastAsia="Times New Roman" w:hAnsi="Arial" w:cs="Arial"/>
        </w:rPr>
        <w:t>minerals, construction and demolition waste, various mineral wastes)</w:t>
      </w:r>
      <w:r w:rsidR="007C6C93" w:rsidRPr="00083DCB">
        <w:rPr>
          <w:rFonts w:ascii="Arial" w:eastAsia="Times New Roman" w:hAnsi="Arial" w:cs="Arial"/>
        </w:rPr>
        <w:t xml:space="preserve">. </w:t>
      </w:r>
      <w:r w:rsidR="00E743F4" w:rsidRPr="00083DCB">
        <w:rPr>
          <w:rFonts w:ascii="Arial" w:eastAsia="Times New Roman" w:hAnsi="Arial" w:cs="Arial"/>
        </w:rPr>
        <w:t>For Doncaster j</w:t>
      </w:r>
      <w:r w:rsidR="00DA75DE" w:rsidRPr="00083DCB">
        <w:rPr>
          <w:rFonts w:ascii="Arial" w:eastAsia="Times New Roman" w:hAnsi="Arial" w:cs="Arial"/>
        </w:rPr>
        <w:t xml:space="preserve">ust </w:t>
      </w:r>
      <w:r w:rsidR="00CE7999" w:rsidRPr="00083DCB">
        <w:rPr>
          <w:rFonts w:ascii="Arial" w:eastAsia="Times New Roman" w:hAnsi="Arial" w:cs="Arial"/>
        </w:rPr>
        <w:t xml:space="preserve">over </w:t>
      </w:r>
      <w:r w:rsidR="00AF15C3" w:rsidRPr="00083DCB">
        <w:rPr>
          <w:rFonts w:ascii="Arial" w:eastAsia="Times New Roman" w:hAnsi="Arial" w:cs="Arial"/>
        </w:rPr>
        <w:t>1.</w:t>
      </w:r>
      <w:r w:rsidR="00CE7999" w:rsidRPr="00083DCB">
        <w:rPr>
          <w:rFonts w:ascii="Arial" w:eastAsia="Times New Roman" w:hAnsi="Arial" w:cs="Arial"/>
        </w:rPr>
        <w:t>1</w:t>
      </w:r>
      <w:r w:rsidR="00AF15C3" w:rsidRPr="00083DCB">
        <w:rPr>
          <w:rFonts w:ascii="Arial" w:eastAsia="Times New Roman" w:hAnsi="Arial" w:cs="Arial"/>
        </w:rPr>
        <w:t xml:space="preserve">Mt of </w:t>
      </w:r>
      <w:r w:rsidR="00400CEA" w:rsidRPr="00083DCB">
        <w:rPr>
          <w:rFonts w:ascii="Arial" w:eastAsia="Times New Roman" w:hAnsi="Arial" w:cs="Arial"/>
        </w:rPr>
        <w:t xml:space="preserve">CD&amp;E </w:t>
      </w:r>
      <w:r w:rsidR="00AF15C3" w:rsidRPr="00083DCB">
        <w:rPr>
          <w:rFonts w:ascii="Arial" w:eastAsia="Times New Roman" w:hAnsi="Arial" w:cs="Arial"/>
        </w:rPr>
        <w:t xml:space="preserve">material </w:t>
      </w:r>
      <w:r w:rsidR="00372F14" w:rsidRPr="00083DCB">
        <w:rPr>
          <w:rFonts w:ascii="Arial" w:eastAsia="Times New Roman" w:hAnsi="Arial" w:cs="Arial"/>
        </w:rPr>
        <w:t xml:space="preserve">in this category </w:t>
      </w:r>
      <w:r w:rsidR="00AF15C3" w:rsidRPr="00083DCB">
        <w:rPr>
          <w:rFonts w:ascii="Arial" w:eastAsia="Times New Roman" w:hAnsi="Arial" w:cs="Arial"/>
        </w:rPr>
        <w:t xml:space="preserve">was </w:t>
      </w:r>
      <w:r w:rsidR="0014626B" w:rsidRPr="00083DCB">
        <w:rPr>
          <w:rFonts w:ascii="Arial" w:eastAsia="Times New Roman" w:hAnsi="Arial" w:cs="Arial"/>
        </w:rPr>
        <w:t>either transferred</w:t>
      </w:r>
      <w:r w:rsidR="00B1764E" w:rsidRPr="00083DCB">
        <w:rPr>
          <w:rFonts w:ascii="Arial" w:eastAsia="Times New Roman" w:hAnsi="Arial" w:cs="Arial"/>
        </w:rPr>
        <w:t xml:space="preserve">, </w:t>
      </w:r>
      <w:r w:rsidR="0014626B" w:rsidRPr="00083DCB">
        <w:rPr>
          <w:rFonts w:ascii="Arial" w:eastAsia="Times New Roman" w:hAnsi="Arial" w:cs="Arial"/>
        </w:rPr>
        <w:t xml:space="preserve">treated, or landfilled in </w:t>
      </w:r>
      <w:r w:rsidR="0014626B" w:rsidRPr="00325DE5">
        <w:rPr>
          <w:rFonts w:ascii="Arial" w:eastAsia="Times New Roman" w:hAnsi="Arial" w:cs="Arial"/>
        </w:rPr>
        <w:t>202</w:t>
      </w:r>
      <w:r w:rsidR="008C4EAC" w:rsidRPr="00325DE5">
        <w:rPr>
          <w:rFonts w:ascii="Arial" w:eastAsia="Times New Roman" w:hAnsi="Arial" w:cs="Arial"/>
        </w:rPr>
        <w:t>3</w:t>
      </w:r>
      <w:r w:rsidR="00325DE5">
        <w:rPr>
          <w:rFonts w:ascii="Arial" w:eastAsia="Times New Roman" w:hAnsi="Arial" w:cs="Arial"/>
        </w:rPr>
        <w:t>.</w:t>
      </w:r>
      <w:r w:rsidR="0014626B" w:rsidRPr="00083DCB">
        <w:rPr>
          <w:rFonts w:ascii="Arial" w:eastAsia="Times New Roman" w:hAnsi="Arial" w:cs="Arial"/>
        </w:rPr>
        <w:t xml:space="preserve"> </w:t>
      </w:r>
      <w:r w:rsidR="00083DCB">
        <w:rPr>
          <w:rFonts w:ascii="Arial" w:eastAsia="Times New Roman" w:hAnsi="Arial" w:cs="Arial"/>
        </w:rPr>
        <w:t>For Rotherham j</w:t>
      </w:r>
      <w:r w:rsidR="007048DF" w:rsidRPr="00083DCB">
        <w:rPr>
          <w:rFonts w:ascii="Arial" w:eastAsia="Times New Roman" w:hAnsi="Arial" w:cs="Arial"/>
        </w:rPr>
        <w:t>ust over 0.86Mt of CD&amp;E material in this category was either transferred, treated, or landfilled in 2023, see table below.</w:t>
      </w:r>
    </w:p>
    <w:p w14:paraId="6545EB82" w14:textId="65A6ED7C" w:rsidR="00CA1B53" w:rsidRPr="00083DCB" w:rsidRDefault="00CA1B53" w:rsidP="00C14DC5">
      <w:pPr>
        <w:numPr>
          <w:ilvl w:val="0"/>
          <w:numId w:val="3"/>
        </w:numPr>
        <w:spacing w:before="240" w:after="200" w:line="276" w:lineRule="auto"/>
        <w:rPr>
          <w:rFonts w:ascii="Arial" w:eastAsia="Times New Roman" w:hAnsi="Arial" w:cs="Arial"/>
        </w:rPr>
      </w:pPr>
      <w:r>
        <w:rPr>
          <w:rFonts w:ascii="Arial" w:eastAsia="Times New Roman" w:hAnsi="Arial" w:cs="Arial"/>
        </w:rPr>
        <w:lastRenderedPageBreak/>
        <w:t xml:space="preserve">Please note, </w:t>
      </w:r>
      <w:r w:rsidR="00607C8E">
        <w:rPr>
          <w:rFonts w:ascii="Arial" w:eastAsia="Times New Roman" w:hAnsi="Arial" w:cs="Arial"/>
        </w:rPr>
        <w:t xml:space="preserve">this information is not intended </w:t>
      </w:r>
      <w:r w:rsidR="0030164A">
        <w:rPr>
          <w:rFonts w:ascii="Arial" w:eastAsia="Times New Roman" w:hAnsi="Arial" w:cs="Arial"/>
        </w:rPr>
        <w:t>to be used</w:t>
      </w:r>
      <w:r w:rsidR="006E4B41">
        <w:rPr>
          <w:rFonts w:ascii="Arial" w:eastAsia="Times New Roman" w:hAnsi="Arial" w:cs="Arial"/>
        </w:rPr>
        <w:t xml:space="preserve"> as a proxy for </w:t>
      </w:r>
      <w:r w:rsidR="00415B75">
        <w:rPr>
          <w:rFonts w:ascii="Arial" w:eastAsia="Times New Roman" w:hAnsi="Arial" w:cs="Arial"/>
        </w:rPr>
        <w:t xml:space="preserve">secondary / </w:t>
      </w:r>
      <w:r w:rsidR="006E4B41">
        <w:rPr>
          <w:rFonts w:ascii="Arial" w:eastAsia="Times New Roman" w:hAnsi="Arial" w:cs="Arial"/>
        </w:rPr>
        <w:t>recycled aggregate</w:t>
      </w:r>
      <w:r w:rsidR="00EB37BD">
        <w:rPr>
          <w:rFonts w:ascii="Arial" w:eastAsia="Times New Roman" w:hAnsi="Arial" w:cs="Arial"/>
        </w:rPr>
        <w:t xml:space="preserve"> </w:t>
      </w:r>
      <w:r w:rsidR="006E4B41">
        <w:rPr>
          <w:rFonts w:ascii="Arial" w:eastAsia="Times New Roman" w:hAnsi="Arial" w:cs="Arial"/>
        </w:rPr>
        <w:t>s</w:t>
      </w:r>
      <w:r w:rsidR="00EB37BD">
        <w:rPr>
          <w:rFonts w:ascii="Arial" w:eastAsia="Times New Roman" w:hAnsi="Arial" w:cs="Arial"/>
        </w:rPr>
        <w:t>ales</w:t>
      </w:r>
      <w:r w:rsidR="006E4B41">
        <w:rPr>
          <w:rFonts w:ascii="Arial" w:eastAsia="Times New Roman" w:hAnsi="Arial" w:cs="Arial"/>
        </w:rPr>
        <w:t xml:space="preserve"> but t</w:t>
      </w:r>
      <w:r w:rsidR="00346667">
        <w:rPr>
          <w:rFonts w:ascii="Arial" w:eastAsia="Times New Roman" w:hAnsi="Arial" w:cs="Arial"/>
        </w:rPr>
        <w:t>o</w:t>
      </w:r>
      <w:r w:rsidR="006E4B41">
        <w:rPr>
          <w:rFonts w:ascii="Arial" w:eastAsia="Times New Roman" w:hAnsi="Arial" w:cs="Arial"/>
        </w:rPr>
        <w:t xml:space="preserve"> identify </w:t>
      </w:r>
      <w:r w:rsidR="00346667">
        <w:rPr>
          <w:rFonts w:ascii="Arial" w:eastAsia="Times New Roman" w:hAnsi="Arial" w:cs="Arial"/>
        </w:rPr>
        <w:t>CD&amp;E</w:t>
      </w:r>
      <w:r w:rsidR="00B6160D">
        <w:rPr>
          <w:rFonts w:ascii="Arial" w:eastAsia="Times New Roman" w:hAnsi="Arial" w:cs="Arial"/>
        </w:rPr>
        <w:t>/Mineral Waste</w:t>
      </w:r>
      <w:r w:rsidR="00346667">
        <w:rPr>
          <w:rFonts w:ascii="Arial" w:eastAsia="Times New Roman" w:hAnsi="Arial" w:cs="Arial"/>
        </w:rPr>
        <w:t xml:space="preserve"> </w:t>
      </w:r>
      <w:r w:rsidR="001915A8">
        <w:rPr>
          <w:rFonts w:ascii="Arial" w:eastAsia="Times New Roman" w:hAnsi="Arial" w:cs="Arial"/>
        </w:rPr>
        <w:t>fate within Doncaster and Rotherham.</w:t>
      </w:r>
      <w:r w:rsidR="000377E8">
        <w:rPr>
          <w:rFonts w:ascii="Arial" w:eastAsia="Times New Roman" w:hAnsi="Arial" w:cs="Arial"/>
        </w:rPr>
        <w:t xml:space="preserve"> </w:t>
      </w:r>
    </w:p>
    <w:p w14:paraId="2543EAE8" w14:textId="0838E9C7" w:rsidR="005B1B84" w:rsidRDefault="000828CC" w:rsidP="00B36636">
      <w:pPr>
        <w:pStyle w:val="Sub-heading"/>
        <w:spacing w:line="276" w:lineRule="auto"/>
        <w:ind w:left="284"/>
        <w:jc w:val="left"/>
        <w:outlineLvl w:val="1"/>
        <w:rPr>
          <w:color w:val="auto"/>
          <w:sz w:val="22"/>
          <w:szCs w:val="22"/>
        </w:rPr>
      </w:pPr>
      <w:bookmarkStart w:id="45" w:name="_Toc198549811"/>
      <w:r w:rsidRPr="005242CE">
        <w:rPr>
          <w:color w:val="auto"/>
          <w:sz w:val="22"/>
          <w:szCs w:val="22"/>
        </w:rPr>
        <w:t>T</w:t>
      </w:r>
      <w:r w:rsidR="00667C22" w:rsidRPr="005242CE">
        <w:rPr>
          <w:color w:val="auto"/>
          <w:sz w:val="22"/>
          <w:szCs w:val="22"/>
        </w:rPr>
        <w:t xml:space="preserve">able </w:t>
      </w:r>
      <w:r w:rsidR="004C6053">
        <w:rPr>
          <w:color w:val="auto"/>
          <w:sz w:val="22"/>
          <w:szCs w:val="22"/>
        </w:rPr>
        <w:t>9</w:t>
      </w:r>
      <w:r w:rsidR="00667C22" w:rsidRPr="005242CE">
        <w:rPr>
          <w:color w:val="auto"/>
          <w:sz w:val="22"/>
          <w:szCs w:val="22"/>
        </w:rPr>
        <w:t xml:space="preserve">. </w:t>
      </w:r>
      <w:r w:rsidR="00BC3D91" w:rsidRPr="005242CE">
        <w:rPr>
          <w:color w:val="auto"/>
          <w:sz w:val="22"/>
          <w:szCs w:val="22"/>
        </w:rPr>
        <w:t xml:space="preserve">Doncaster </w:t>
      </w:r>
      <w:r w:rsidR="00EF4658">
        <w:rPr>
          <w:color w:val="auto"/>
          <w:sz w:val="22"/>
          <w:szCs w:val="22"/>
        </w:rPr>
        <w:t xml:space="preserve">and Rotherham CD&amp;E / </w:t>
      </w:r>
      <w:r w:rsidR="00C161A2" w:rsidRPr="005242CE">
        <w:rPr>
          <w:color w:val="auto"/>
          <w:sz w:val="22"/>
          <w:szCs w:val="22"/>
        </w:rPr>
        <w:t>Mineral Waste fate 202</w:t>
      </w:r>
      <w:r w:rsidR="006E6E31">
        <w:rPr>
          <w:color w:val="auto"/>
          <w:sz w:val="22"/>
          <w:szCs w:val="22"/>
        </w:rPr>
        <w:t>3</w:t>
      </w:r>
      <w:bookmarkEnd w:id="45"/>
      <w:r w:rsidRPr="005242CE">
        <w:rPr>
          <w:color w:val="auto"/>
          <w:sz w:val="22"/>
          <w:szCs w:val="22"/>
        </w:rPr>
        <w:t xml:space="preserve"> </w:t>
      </w:r>
    </w:p>
    <w:p w14:paraId="6E6339BD" w14:textId="3B825C53" w:rsidR="003F3843" w:rsidRPr="005242CE" w:rsidRDefault="003F3843" w:rsidP="004C7ED8">
      <w:pPr>
        <w:spacing w:before="240" w:line="276" w:lineRule="auto"/>
      </w:pPr>
      <w:r>
        <w:t>See appendix four for notes on site categories</w:t>
      </w:r>
      <w:r w:rsidR="00B13FC7">
        <w:t xml:space="preserve"> and waste codes</w:t>
      </w:r>
      <w:r>
        <w:t>.</w:t>
      </w:r>
    </w:p>
    <w:tbl>
      <w:tblPr>
        <w:tblW w:w="9016" w:type="dxa"/>
        <w:tblLook w:val="04A0" w:firstRow="1" w:lastRow="0" w:firstColumn="1" w:lastColumn="0" w:noHBand="0" w:noVBand="1"/>
        <w:tblCaption w:val="Table 9 Doncaster and Rotherham CD&amp;E / Mineral Waste fate 2023 "/>
        <w:tblDescription w:val="Table 9 Doncaster and Rotherham CD&amp;E / Mineral Waste fate 2023 "/>
      </w:tblPr>
      <w:tblGrid>
        <w:gridCol w:w="2213"/>
        <w:gridCol w:w="2347"/>
        <w:gridCol w:w="1105"/>
        <w:gridCol w:w="1843"/>
        <w:gridCol w:w="1508"/>
      </w:tblGrid>
      <w:tr w:rsidR="00262E88" w:rsidRPr="006654F6" w14:paraId="39920AE0" w14:textId="068A4C15" w:rsidTr="00262E88">
        <w:trPr>
          <w:trHeight w:val="300"/>
        </w:trPr>
        <w:tc>
          <w:tcPr>
            <w:tcW w:w="2213" w:type="dxa"/>
            <w:tcBorders>
              <w:top w:val="single" w:sz="4" w:space="0" w:color="auto"/>
              <w:left w:val="single" w:sz="4" w:space="0" w:color="auto"/>
              <w:bottom w:val="single" w:sz="4" w:space="0" w:color="auto"/>
              <w:right w:val="single" w:sz="4" w:space="0" w:color="auto"/>
            </w:tcBorders>
            <w:shd w:val="clear" w:color="000000" w:fill="DDEBF7"/>
            <w:vAlign w:val="bottom"/>
          </w:tcPr>
          <w:p w14:paraId="0339AEFD" w14:textId="77777777" w:rsidR="00262E88" w:rsidRPr="006654F6" w:rsidRDefault="00262E88" w:rsidP="006654F6">
            <w:pPr>
              <w:jc w:val="right"/>
              <w:rPr>
                <w:rFonts w:ascii="Calibri" w:eastAsia="Times New Roman" w:hAnsi="Calibri" w:cs="Calibri"/>
                <w:b/>
                <w:bCs/>
                <w:lang w:eastAsia="en-GB"/>
              </w:rPr>
            </w:pPr>
          </w:p>
        </w:tc>
        <w:tc>
          <w:tcPr>
            <w:tcW w:w="3452" w:type="dxa"/>
            <w:gridSpan w:val="2"/>
            <w:tcBorders>
              <w:top w:val="single" w:sz="4" w:space="0" w:color="auto"/>
              <w:left w:val="nil"/>
              <w:bottom w:val="single" w:sz="4" w:space="0" w:color="auto"/>
              <w:right w:val="single" w:sz="4" w:space="0" w:color="auto"/>
            </w:tcBorders>
            <w:shd w:val="clear" w:color="000000" w:fill="DDEBF7"/>
            <w:vAlign w:val="center"/>
          </w:tcPr>
          <w:p w14:paraId="6FD42B67" w14:textId="05EB1127" w:rsidR="00262E88" w:rsidRPr="006654F6" w:rsidRDefault="00262E88" w:rsidP="00262E88">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Doncaster</w:t>
            </w:r>
          </w:p>
        </w:tc>
        <w:tc>
          <w:tcPr>
            <w:tcW w:w="3351" w:type="dxa"/>
            <w:gridSpan w:val="2"/>
            <w:tcBorders>
              <w:top w:val="single" w:sz="4" w:space="0" w:color="auto"/>
              <w:left w:val="nil"/>
              <w:bottom w:val="single" w:sz="4" w:space="0" w:color="auto"/>
              <w:right w:val="single" w:sz="4" w:space="0" w:color="auto"/>
            </w:tcBorders>
            <w:shd w:val="clear" w:color="000000" w:fill="DDEBF7"/>
            <w:vAlign w:val="center"/>
          </w:tcPr>
          <w:p w14:paraId="0295769B" w14:textId="64513612" w:rsidR="00262E88" w:rsidRPr="006654F6" w:rsidRDefault="00262E88" w:rsidP="00262E88">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Rotherham</w:t>
            </w:r>
          </w:p>
        </w:tc>
      </w:tr>
      <w:tr w:rsidR="00262E88" w:rsidRPr="006654F6" w14:paraId="52246145" w14:textId="3AF3DBE5" w:rsidTr="00262E88">
        <w:trPr>
          <w:trHeight w:val="300"/>
        </w:trPr>
        <w:tc>
          <w:tcPr>
            <w:tcW w:w="2213"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38697036" w14:textId="1F6487E9" w:rsidR="00262E88" w:rsidRPr="006654F6" w:rsidRDefault="00262E88" w:rsidP="006654F6">
            <w:pPr>
              <w:jc w:val="right"/>
              <w:rPr>
                <w:rFonts w:ascii="Calibri" w:eastAsia="Times New Roman" w:hAnsi="Calibri" w:cs="Calibri"/>
                <w:b/>
                <w:bCs/>
                <w:lang w:eastAsia="en-GB"/>
              </w:rPr>
            </w:pPr>
            <w:r w:rsidRPr="006654F6">
              <w:rPr>
                <w:rFonts w:ascii="Calibri" w:eastAsia="Times New Roman" w:hAnsi="Calibri" w:cs="Calibri"/>
                <w:b/>
                <w:bCs/>
                <w:lang w:eastAsia="en-GB"/>
              </w:rPr>
              <w:t>Site Category</w:t>
            </w:r>
            <w:r w:rsidR="00816611">
              <w:rPr>
                <w:rFonts w:ascii="Calibri" w:eastAsia="Times New Roman" w:hAnsi="Calibri" w:cs="Calibri"/>
                <w:b/>
                <w:bCs/>
                <w:lang w:eastAsia="en-GB"/>
              </w:rPr>
              <w:t>/Fate</w:t>
            </w:r>
            <w:r w:rsidRPr="006654F6">
              <w:rPr>
                <w:rFonts w:ascii="Calibri" w:eastAsia="Times New Roman" w:hAnsi="Calibri" w:cs="Calibri"/>
                <w:b/>
                <w:bCs/>
                <w:lang w:eastAsia="en-GB"/>
              </w:rPr>
              <w:t xml:space="preserve"> </w:t>
            </w:r>
          </w:p>
        </w:tc>
        <w:tc>
          <w:tcPr>
            <w:tcW w:w="2347" w:type="dxa"/>
            <w:tcBorders>
              <w:top w:val="single" w:sz="4" w:space="0" w:color="auto"/>
              <w:left w:val="nil"/>
              <w:bottom w:val="single" w:sz="4" w:space="0" w:color="auto"/>
              <w:right w:val="single" w:sz="4" w:space="0" w:color="auto"/>
            </w:tcBorders>
            <w:shd w:val="clear" w:color="000000" w:fill="DDEBF7"/>
            <w:vAlign w:val="bottom"/>
            <w:hideMark/>
          </w:tcPr>
          <w:p w14:paraId="4002A534" w14:textId="77777777" w:rsidR="00262E88" w:rsidRPr="006654F6" w:rsidRDefault="00262E88" w:rsidP="006654F6">
            <w:pPr>
              <w:jc w:val="right"/>
              <w:rPr>
                <w:rFonts w:ascii="Calibri" w:eastAsia="Times New Roman" w:hAnsi="Calibri" w:cs="Calibri"/>
                <w:b/>
                <w:bCs/>
                <w:lang w:eastAsia="en-GB"/>
              </w:rPr>
            </w:pPr>
            <w:r w:rsidRPr="006654F6">
              <w:rPr>
                <w:rFonts w:ascii="Calibri" w:eastAsia="Times New Roman" w:hAnsi="Calibri" w:cs="Calibri"/>
                <w:b/>
                <w:bCs/>
                <w:lang w:eastAsia="en-GB"/>
              </w:rPr>
              <w:t xml:space="preserve"> Total in tonnes  </w:t>
            </w:r>
          </w:p>
        </w:tc>
        <w:tc>
          <w:tcPr>
            <w:tcW w:w="1105" w:type="dxa"/>
            <w:tcBorders>
              <w:top w:val="single" w:sz="4" w:space="0" w:color="auto"/>
              <w:left w:val="nil"/>
              <w:bottom w:val="single" w:sz="4" w:space="0" w:color="auto"/>
              <w:right w:val="single" w:sz="4" w:space="0" w:color="auto"/>
            </w:tcBorders>
            <w:shd w:val="clear" w:color="000000" w:fill="DDEBF7"/>
            <w:noWrap/>
            <w:vAlign w:val="bottom"/>
            <w:hideMark/>
          </w:tcPr>
          <w:p w14:paraId="408890B6" w14:textId="77777777" w:rsidR="00262E88" w:rsidRPr="006654F6" w:rsidRDefault="00262E88" w:rsidP="006654F6">
            <w:pPr>
              <w:jc w:val="right"/>
              <w:rPr>
                <w:rFonts w:ascii="Calibri" w:eastAsia="Times New Roman" w:hAnsi="Calibri" w:cs="Calibri"/>
                <w:b/>
                <w:bCs/>
                <w:color w:val="000000"/>
                <w:lang w:eastAsia="en-GB"/>
              </w:rPr>
            </w:pPr>
            <w:r w:rsidRPr="006654F6">
              <w:rPr>
                <w:rFonts w:ascii="Calibri" w:eastAsia="Times New Roman" w:hAnsi="Calibri" w:cs="Calibri"/>
                <w:b/>
                <w:bCs/>
                <w:color w:val="000000"/>
                <w:lang w:eastAsia="en-GB"/>
              </w:rPr>
              <w:t>%</w:t>
            </w:r>
          </w:p>
        </w:tc>
        <w:tc>
          <w:tcPr>
            <w:tcW w:w="1843" w:type="dxa"/>
            <w:tcBorders>
              <w:top w:val="single" w:sz="4" w:space="0" w:color="auto"/>
              <w:left w:val="nil"/>
              <w:bottom w:val="single" w:sz="4" w:space="0" w:color="auto"/>
              <w:right w:val="single" w:sz="4" w:space="0" w:color="auto"/>
            </w:tcBorders>
            <w:shd w:val="clear" w:color="000000" w:fill="DDEBF7"/>
          </w:tcPr>
          <w:p w14:paraId="3E6DE974" w14:textId="160146F8" w:rsidR="00262E88" w:rsidRPr="006654F6" w:rsidRDefault="00262E88" w:rsidP="006654F6">
            <w:pPr>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Total in tonnes</w:t>
            </w:r>
          </w:p>
        </w:tc>
        <w:tc>
          <w:tcPr>
            <w:tcW w:w="1508" w:type="dxa"/>
            <w:tcBorders>
              <w:top w:val="single" w:sz="4" w:space="0" w:color="auto"/>
              <w:left w:val="nil"/>
              <w:bottom w:val="single" w:sz="4" w:space="0" w:color="auto"/>
              <w:right w:val="single" w:sz="4" w:space="0" w:color="auto"/>
            </w:tcBorders>
            <w:shd w:val="clear" w:color="000000" w:fill="DDEBF7"/>
          </w:tcPr>
          <w:p w14:paraId="3847B3E4" w14:textId="0FDCCABC" w:rsidR="00262E88" w:rsidRPr="006654F6" w:rsidRDefault="00262E88" w:rsidP="006654F6">
            <w:pPr>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w:t>
            </w:r>
          </w:p>
        </w:tc>
      </w:tr>
      <w:tr w:rsidR="003F4FC1" w:rsidRPr="006654F6" w14:paraId="371A6465" w14:textId="31CCF830" w:rsidTr="00495169">
        <w:trPr>
          <w:trHeight w:val="300"/>
        </w:trPr>
        <w:tc>
          <w:tcPr>
            <w:tcW w:w="2213" w:type="dxa"/>
            <w:tcBorders>
              <w:top w:val="nil"/>
              <w:left w:val="single" w:sz="4" w:space="0" w:color="auto"/>
              <w:bottom w:val="single" w:sz="4" w:space="0" w:color="auto"/>
              <w:right w:val="single" w:sz="4" w:space="0" w:color="auto"/>
            </w:tcBorders>
            <w:shd w:val="clear" w:color="000000" w:fill="DDEBF7"/>
            <w:vAlign w:val="bottom"/>
            <w:hideMark/>
          </w:tcPr>
          <w:p w14:paraId="58B47506" w14:textId="77777777" w:rsidR="003F4FC1" w:rsidRPr="006654F6" w:rsidRDefault="003F4FC1" w:rsidP="003F4FC1">
            <w:pPr>
              <w:jc w:val="right"/>
              <w:rPr>
                <w:rFonts w:ascii="Calibri" w:eastAsia="Times New Roman" w:hAnsi="Calibri" w:cs="Calibri"/>
                <w:lang w:eastAsia="en-GB"/>
              </w:rPr>
            </w:pPr>
            <w:r w:rsidRPr="006654F6">
              <w:rPr>
                <w:rFonts w:ascii="Calibri" w:eastAsia="Times New Roman" w:hAnsi="Calibri" w:cs="Calibri"/>
                <w:lang w:eastAsia="en-GB"/>
              </w:rPr>
              <w:t xml:space="preserve"> Transfer </w:t>
            </w:r>
          </w:p>
        </w:tc>
        <w:tc>
          <w:tcPr>
            <w:tcW w:w="2347" w:type="dxa"/>
            <w:tcBorders>
              <w:top w:val="nil"/>
              <w:left w:val="nil"/>
              <w:bottom w:val="single" w:sz="4" w:space="0" w:color="auto"/>
              <w:right w:val="single" w:sz="4" w:space="0" w:color="auto"/>
            </w:tcBorders>
            <w:shd w:val="clear" w:color="auto" w:fill="auto"/>
            <w:vAlign w:val="bottom"/>
            <w:hideMark/>
          </w:tcPr>
          <w:p w14:paraId="1DFA42AB" w14:textId="7076D730" w:rsidR="003F4FC1" w:rsidRPr="006654F6" w:rsidRDefault="003F4FC1" w:rsidP="003F4FC1">
            <w:pPr>
              <w:jc w:val="right"/>
              <w:rPr>
                <w:rFonts w:ascii="Calibri" w:eastAsia="Times New Roman" w:hAnsi="Calibri" w:cs="Calibri"/>
                <w:lang w:eastAsia="en-GB"/>
              </w:rPr>
            </w:pPr>
            <w:r>
              <w:rPr>
                <w:rFonts w:ascii="Calibri" w:hAnsi="Calibri" w:cs="Calibri"/>
              </w:rPr>
              <w:t xml:space="preserve">                               129,015 </w:t>
            </w:r>
          </w:p>
        </w:tc>
        <w:tc>
          <w:tcPr>
            <w:tcW w:w="1105" w:type="dxa"/>
            <w:tcBorders>
              <w:top w:val="nil"/>
              <w:left w:val="nil"/>
              <w:bottom w:val="single" w:sz="4" w:space="0" w:color="auto"/>
              <w:right w:val="single" w:sz="4" w:space="0" w:color="auto"/>
            </w:tcBorders>
            <w:shd w:val="clear" w:color="auto" w:fill="auto"/>
            <w:noWrap/>
            <w:vAlign w:val="bottom"/>
            <w:hideMark/>
          </w:tcPr>
          <w:p w14:paraId="24DC6BA5" w14:textId="5E7181DA" w:rsidR="003F4FC1" w:rsidRPr="006654F6" w:rsidRDefault="003F4FC1" w:rsidP="003F4FC1">
            <w:pPr>
              <w:jc w:val="right"/>
              <w:rPr>
                <w:rFonts w:ascii="Calibri" w:eastAsia="Times New Roman" w:hAnsi="Calibri" w:cs="Calibri"/>
                <w:color w:val="000000"/>
                <w:lang w:eastAsia="en-GB"/>
              </w:rPr>
            </w:pPr>
            <w:r>
              <w:rPr>
                <w:rFonts w:ascii="Calibri" w:hAnsi="Calibri" w:cs="Calibri"/>
                <w:color w:val="000000"/>
              </w:rPr>
              <w:t>11.59</w:t>
            </w:r>
          </w:p>
        </w:tc>
        <w:tc>
          <w:tcPr>
            <w:tcW w:w="1843" w:type="dxa"/>
            <w:tcBorders>
              <w:top w:val="nil"/>
              <w:left w:val="nil"/>
              <w:bottom w:val="single" w:sz="4" w:space="0" w:color="auto"/>
              <w:right w:val="single" w:sz="4" w:space="0" w:color="auto"/>
            </w:tcBorders>
            <w:shd w:val="clear" w:color="auto" w:fill="auto"/>
            <w:vAlign w:val="bottom"/>
          </w:tcPr>
          <w:p w14:paraId="741B1984" w14:textId="60DB4451" w:rsidR="003F4FC1" w:rsidRPr="006654F6" w:rsidRDefault="003F4FC1" w:rsidP="003F4FC1">
            <w:pPr>
              <w:jc w:val="right"/>
              <w:rPr>
                <w:rFonts w:ascii="Calibri" w:eastAsia="Times New Roman" w:hAnsi="Calibri" w:cs="Calibri"/>
                <w:color w:val="000000"/>
                <w:lang w:eastAsia="en-GB"/>
              </w:rPr>
            </w:pPr>
            <w:r w:rsidRPr="00262E88">
              <w:rPr>
                <w:rFonts w:ascii="Calibri" w:eastAsia="Times New Roman" w:hAnsi="Calibri" w:cs="Calibri"/>
                <w:lang w:eastAsia="en-GB"/>
              </w:rPr>
              <w:t xml:space="preserve">                               153,208 </w:t>
            </w:r>
          </w:p>
        </w:tc>
        <w:tc>
          <w:tcPr>
            <w:tcW w:w="1508" w:type="dxa"/>
            <w:tcBorders>
              <w:top w:val="nil"/>
              <w:left w:val="nil"/>
              <w:bottom w:val="single" w:sz="4" w:space="0" w:color="auto"/>
              <w:right w:val="single" w:sz="4" w:space="0" w:color="auto"/>
            </w:tcBorders>
            <w:shd w:val="clear" w:color="auto" w:fill="auto"/>
            <w:vAlign w:val="bottom"/>
          </w:tcPr>
          <w:p w14:paraId="1F5A126C" w14:textId="56D8BEFA" w:rsidR="003F4FC1" w:rsidRPr="006654F6" w:rsidRDefault="003F4FC1" w:rsidP="003F4FC1">
            <w:pPr>
              <w:jc w:val="right"/>
              <w:rPr>
                <w:rFonts w:ascii="Calibri" w:eastAsia="Times New Roman" w:hAnsi="Calibri" w:cs="Calibri"/>
                <w:color w:val="000000"/>
                <w:lang w:eastAsia="en-GB"/>
              </w:rPr>
            </w:pPr>
            <w:r w:rsidRPr="00262E88">
              <w:rPr>
                <w:rFonts w:ascii="Calibri" w:eastAsia="Times New Roman" w:hAnsi="Calibri" w:cs="Calibri"/>
                <w:color w:val="000000"/>
                <w:lang w:eastAsia="en-GB"/>
              </w:rPr>
              <w:t>17.70</w:t>
            </w:r>
          </w:p>
        </w:tc>
      </w:tr>
      <w:tr w:rsidR="003F4FC1" w:rsidRPr="006654F6" w14:paraId="4578F522" w14:textId="5D816990" w:rsidTr="00495169">
        <w:trPr>
          <w:trHeight w:val="300"/>
        </w:trPr>
        <w:tc>
          <w:tcPr>
            <w:tcW w:w="2213" w:type="dxa"/>
            <w:tcBorders>
              <w:top w:val="nil"/>
              <w:left w:val="single" w:sz="4" w:space="0" w:color="auto"/>
              <w:bottom w:val="single" w:sz="4" w:space="0" w:color="auto"/>
              <w:right w:val="single" w:sz="4" w:space="0" w:color="auto"/>
            </w:tcBorders>
            <w:shd w:val="clear" w:color="000000" w:fill="FCE4D6"/>
            <w:vAlign w:val="bottom"/>
            <w:hideMark/>
          </w:tcPr>
          <w:p w14:paraId="0A8A4D2A" w14:textId="77777777" w:rsidR="003F4FC1" w:rsidRPr="006654F6" w:rsidRDefault="003F4FC1" w:rsidP="003F4FC1">
            <w:pPr>
              <w:jc w:val="right"/>
              <w:rPr>
                <w:rFonts w:ascii="Calibri" w:eastAsia="Times New Roman" w:hAnsi="Calibri" w:cs="Calibri"/>
                <w:lang w:eastAsia="en-GB"/>
              </w:rPr>
            </w:pPr>
            <w:r w:rsidRPr="006654F6">
              <w:rPr>
                <w:rFonts w:ascii="Calibri" w:eastAsia="Times New Roman" w:hAnsi="Calibri" w:cs="Calibri"/>
                <w:lang w:eastAsia="en-GB"/>
              </w:rPr>
              <w:t>On/In Land</w:t>
            </w:r>
          </w:p>
        </w:tc>
        <w:tc>
          <w:tcPr>
            <w:tcW w:w="2347" w:type="dxa"/>
            <w:tcBorders>
              <w:top w:val="nil"/>
              <w:left w:val="nil"/>
              <w:bottom w:val="single" w:sz="4" w:space="0" w:color="auto"/>
              <w:right w:val="single" w:sz="4" w:space="0" w:color="auto"/>
            </w:tcBorders>
            <w:shd w:val="clear" w:color="auto" w:fill="auto"/>
            <w:vAlign w:val="bottom"/>
            <w:hideMark/>
          </w:tcPr>
          <w:p w14:paraId="76BEE8E5" w14:textId="60E562B0" w:rsidR="003F4FC1" w:rsidRPr="006654F6" w:rsidRDefault="003F4FC1" w:rsidP="003F4FC1">
            <w:pPr>
              <w:jc w:val="right"/>
              <w:rPr>
                <w:rFonts w:ascii="Calibri" w:eastAsia="Times New Roman" w:hAnsi="Calibri" w:cs="Calibri"/>
                <w:lang w:eastAsia="en-GB"/>
              </w:rPr>
            </w:pPr>
            <w:r>
              <w:rPr>
                <w:rFonts w:ascii="Calibri" w:hAnsi="Calibri" w:cs="Calibri"/>
              </w:rPr>
              <w:t>216,181</w:t>
            </w:r>
          </w:p>
        </w:tc>
        <w:tc>
          <w:tcPr>
            <w:tcW w:w="1105" w:type="dxa"/>
            <w:tcBorders>
              <w:top w:val="nil"/>
              <w:left w:val="nil"/>
              <w:bottom w:val="single" w:sz="4" w:space="0" w:color="auto"/>
              <w:right w:val="single" w:sz="4" w:space="0" w:color="auto"/>
            </w:tcBorders>
            <w:shd w:val="clear" w:color="auto" w:fill="auto"/>
            <w:noWrap/>
            <w:vAlign w:val="bottom"/>
            <w:hideMark/>
          </w:tcPr>
          <w:p w14:paraId="14F99294" w14:textId="713A67B6" w:rsidR="003F4FC1" w:rsidRPr="006654F6" w:rsidRDefault="003F4FC1" w:rsidP="003F4FC1">
            <w:pPr>
              <w:jc w:val="right"/>
              <w:rPr>
                <w:rFonts w:ascii="Calibri" w:eastAsia="Times New Roman" w:hAnsi="Calibri" w:cs="Calibri"/>
                <w:color w:val="000000"/>
                <w:lang w:eastAsia="en-GB"/>
              </w:rPr>
            </w:pPr>
            <w:r>
              <w:rPr>
                <w:rFonts w:ascii="Calibri" w:hAnsi="Calibri" w:cs="Calibri"/>
                <w:color w:val="000000"/>
              </w:rPr>
              <w:t>19.42</w:t>
            </w:r>
          </w:p>
        </w:tc>
        <w:tc>
          <w:tcPr>
            <w:tcW w:w="1843" w:type="dxa"/>
            <w:tcBorders>
              <w:top w:val="nil"/>
              <w:left w:val="nil"/>
              <w:bottom w:val="single" w:sz="4" w:space="0" w:color="auto"/>
              <w:right w:val="single" w:sz="4" w:space="0" w:color="auto"/>
            </w:tcBorders>
            <w:shd w:val="clear" w:color="auto" w:fill="auto"/>
            <w:vAlign w:val="bottom"/>
          </w:tcPr>
          <w:p w14:paraId="212B6A1C" w14:textId="542357B5" w:rsidR="003F4FC1" w:rsidRPr="006654F6" w:rsidRDefault="003F4FC1" w:rsidP="003F4FC1">
            <w:pPr>
              <w:jc w:val="right"/>
              <w:rPr>
                <w:rFonts w:ascii="Calibri" w:eastAsia="Times New Roman" w:hAnsi="Calibri" w:cs="Calibri"/>
                <w:color w:val="000000"/>
                <w:lang w:eastAsia="en-GB"/>
              </w:rPr>
            </w:pPr>
            <w:r w:rsidRPr="00262E88">
              <w:rPr>
                <w:rFonts w:ascii="Calibri" w:eastAsia="Times New Roman" w:hAnsi="Calibri" w:cs="Calibri"/>
                <w:lang w:eastAsia="en-GB"/>
              </w:rPr>
              <w:t>202,595</w:t>
            </w:r>
          </w:p>
        </w:tc>
        <w:tc>
          <w:tcPr>
            <w:tcW w:w="1508" w:type="dxa"/>
            <w:tcBorders>
              <w:top w:val="nil"/>
              <w:left w:val="nil"/>
              <w:bottom w:val="single" w:sz="4" w:space="0" w:color="auto"/>
              <w:right w:val="single" w:sz="4" w:space="0" w:color="auto"/>
            </w:tcBorders>
            <w:shd w:val="clear" w:color="auto" w:fill="auto"/>
            <w:vAlign w:val="bottom"/>
          </w:tcPr>
          <w:p w14:paraId="48BB9938" w14:textId="6AE8A141" w:rsidR="003F4FC1" w:rsidRPr="006654F6" w:rsidRDefault="003F4FC1" w:rsidP="003F4FC1">
            <w:pPr>
              <w:jc w:val="right"/>
              <w:rPr>
                <w:rFonts w:ascii="Calibri" w:eastAsia="Times New Roman" w:hAnsi="Calibri" w:cs="Calibri"/>
                <w:color w:val="000000"/>
                <w:lang w:eastAsia="en-GB"/>
              </w:rPr>
            </w:pPr>
            <w:r w:rsidRPr="00262E88">
              <w:rPr>
                <w:rFonts w:ascii="Calibri" w:eastAsia="Times New Roman" w:hAnsi="Calibri" w:cs="Calibri"/>
                <w:color w:val="000000"/>
                <w:lang w:eastAsia="en-GB"/>
              </w:rPr>
              <w:t>23.41</w:t>
            </w:r>
          </w:p>
        </w:tc>
      </w:tr>
      <w:tr w:rsidR="003F4FC1" w:rsidRPr="006654F6" w14:paraId="40615B06" w14:textId="5FF1E65D" w:rsidTr="00495169">
        <w:trPr>
          <w:trHeight w:val="300"/>
        </w:trPr>
        <w:tc>
          <w:tcPr>
            <w:tcW w:w="2213" w:type="dxa"/>
            <w:tcBorders>
              <w:top w:val="nil"/>
              <w:left w:val="single" w:sz="4" w:space="0" w:color="auto"/>
              <w:bottom w:val="single" w:sz="4" w:space="0" w:color="auto"/>
              <w:right w:val="single" w:sz="4" w:space="0" w:color="auto"/>
            </w:tcBorders>
            <w:shd w:val="clear" w:color="000000" w:fill="E2EFDA"/>
            <w:vAlign w:val="bottom"/>
            <w:hideMark/>
          </w:tcPr>
          <w:p w14:paraId="4C60EA20" w14:textId="77777777" w:rsidR="003F4FC1" w:rsidRPr="006654F6" w:rsidRDefault="003F4FC1" w:rsidP="003F4FC1">
            <w:pPr>
              <w:jc w:val="right"/>
              <w:rPr>
                <w:rFonts w:ascii="Calibri" w:eastAsia="Times New Roman" w:hAnsi="Calibri" w:cs="Calibri"/>
                <w:lang w:eastAsia="en-GB"/>
              </w:rPr>
            </w:pPr>
            <w:r w:rsidRPr="006654F6">
              <w:rPr>
                <w:rFonts w:ascii="Calibri" w:eastAsia="Times New Roman" w:hAnsi="Calibri" w:cs="Calibri"/>
                <w:lang w:eastAsia="en-GB"/>
              </w:rPr>
              <w:t>Treatment</w:t>
            </w:r>
          </w:p>
        </w:tc>
        <w:tc>
          <w:tcPr>
            <w:tcW w:w="2347" w:type="dxa"/>
            <w:tcBorders>
              <w:top w:val="nil"/>
              <w:left w:val="nil"/>
              <w:bottom w:val="single" w:sz="4" w:space="0" w:color="auto"/>
              <w:right w:val="single" w:sz="4" w:space="0" w:color="auto"/>
            </w:tcBorders>
            <w:shd w:val="clear" w:color="auto" w:fill="auto"/>
            <w:vAlign w:val="bottom"/>
            <w:hideMark/>
          </w:tcPr>
          <w:p w14:paraId="3D02A01F" w14:textId="5B6A7061" w:rsidR="003F4FC1" w:rsidRPr="006654F6" w:rsidRDefault="003F4FC1" w:rsidP="003F4FC1">
            <w:pPr>
              <w:jc w:val="right"/>
              <w:rPr>
                <w:rFonts w:ascii="Calibri" w:eastAsia="Times New Roman" w:hAnsi="Calibri" w:cs="Calibri"/>
                <w:lang w:eastAsia="en-GB"/>
              </w:rPr>
            </w:pPr>
            <w:r>
              <w:rPr>
                <w:rFonts w:ascii="Calibri" w:hAnsi="Calibri" w:cs="Calibri"/>
              </w:rPr>
              <w:t>526,284</w:t>
            </w:r>
          </w:p>
        </w:tc>
        <w:tc>
          <w:tcPr>
            <w:tcW w:w="1105" w:type="dxa"/>
            <w:tcBorders>
              <w:top w:val="nil"/>
              <w:left w:val="nil"/>
              <w:bottom w:val="single" w:sz="4" w:space="0" w:color="auto"/>
              <w:right w:val="single" w:sz="4" w:space="0" w:color="auto"/>
            </w:tcBorders>
            <w:shd w:val="clear" w:color="auto" w:fill="auto"/>
            <w:noWrap/>
            <w:vAlign w:val="bottom"/>
            <w:hideMark/>
          </w:tcPr>
          <w:p w14:paraId="28C59E94" w14:textId="4F5AFBAD" w:rsidR="003F4FC1" w:rsidRPr="006654F6" w:rsidRDefault="003F4FC1" w:rsidP="003F4FC1">
            <w:pPr>
              <w:jc w:val="right"/>
              <w:rPr>
                <w:rFonts w:ascii="Calibri" w:eastAsia="Times New Roman" w:hAnsi="Calibri" w:cs="Calibri"/>
                <w:color w:val="000000"/>
                <w:lang w:eastAsia="en-GB"/>
              </w:rPr>
            </w:pPr>
            <w:r>
              <w:rPr>
                <w:rFonts w:ascii="Calibri" w:hAnsi="Calibri" w:cs="Calibri"/>
                <w:color w:val="000000"/>
              </w:rPr>
              <w:t>47.27</w:t>
            </w:r>
          </w:p>
        </w:tc>
        <w:tc>
          <w:tcPr>
            <w:tcW w:w="1843" w:type="dxa"/>
            <w:tcBorders>
              <w:top w:val="nil"/>
              <w:left w:val="nil"/>
              <w:bottom w:val="single" w:sz="4" w:space="0" w:color="auto"/>
              <w:right w:val="single" w:sz="4" w:space="0" w:color="auto"/>
            </w:tcBorders>
            <w:shd w:val="clear" w:color="auto" w:fill="auto"/>
            <w:vAlign w:val="bottom"/>
          </w:tcPr>
          <w:p w14:paraId="258184B9" w14:textId="797F2708" w:rsidR="003F4FC1" w:rsidRPr="006654F6" w:rsidRDefault="003F4FC1" w:rsidP="003F4FC1">
            <w:pPr>
              <w:jc w:val="right"/>
              <w:rPr>
                <w:rFonts w:ascii="Calibri" w:eastAsia="Times New Roman" w:hAnsi="Calibri" w:cs="Calibri"/>
                <w:color w:val="000000"/>
                <w:lang w:eastAsia="en-GB"/>
              </w:rPr>
            </w:pPr>
            <w:r w:rsidRPr="00262E88">
              <w:rPr>
                <w:rFonts w:ascii="Calibri" w:eastAsia="Times New Roman" w:hAnsi="Calibri" w:cs="Calibri"/>
                <w:lang w:eastAsia="en-GB"/>
              </w:rPr>
              <w:t>54,156</w:t>
            </w:r>
          </w:p>
        </w:tc>
        <w:tc>
          <w:tcPr>
            <w:tcW w:w="1508" w:type="dxa"/>
            <w:tcBorders>
              <w:top w:val="nil"/>
              <w:left w:val="nil"/>
              <w:bottom w:val="single" w:sz="4" w:space="0" w:color="auto"/>
              <w:right w:val="single" w:sz="4" w:space="0" w:color="auto"/>
            </w:tcBorders>
            <w:shd w:val="clear" w:color="auto" w:fill="auto"/>
            <w:vAlign w:val="bottom"/>
          </w:tcPr>
          <w:p w14:paraId="5E1F62A3" w14:textId="1E0957D1" w:rsidR="003F4FC1" w:rsidRPr="006654F6" w:rsidRDefault="003F4FC1" w:rsidP="003F4FC1">
            <w:pPr>
              <w:jc w:val="right"/>
              <w:rPr>
                <w:rFonts w:ascii="Calibri" w:eastAsia="Times New Roman" w:hAnsi="Calibri" w:cs="Calibri"/>
                <w:color w:val="000000"/>
                <w:lang w:eastAsia="en-GB"/>
              </w:rPr>
            </w:pPr>
            <w:r w:rsidRPr="00262E88">
              <w:rPr>
                <w:rFonts w:ascii="Calibri" w:eastAsia="Times New Roman" w:hAnsi="Calibri" w:cs="Calibri"/>
                <w:color w:val="000000"/>
                <w:lang w:eastAsia="en-GB"/>
              </w:rPr>
              <w:t>6.26</w:t>
            </w:r>
          </w:p>
        </w:tc>
      </w:tr>
      <w:tr w:rsidR="003F4FC1" w:rsidRPr="006654F6" w14:paraId="000A639B" w14:textId="7517F3C8" w:rsidTr="00495169">
        <w:trPr>
          <w:trHeight w:val="300"/>
        </w:trPr>
        <w:tc>
          <w:tcPr>
            <w:tcW w:w="2213" w:type="dxa"/>
            <w:tcBorders>
              <w:top w:val="nil"/>
              <w:left w:val="single" w:sz="4" w:space="0" w:color="auto"/>
              <w:bottom w:val="single" w:sz="4" w:space="0" w:color="auto"/>
              <w:right w:val="single" w:sz="4" w:space="0" w:color="auto"/>
            </w:tcBorders>
            <w:shd w:val="clear" w:color="000000" w:fill="D9D9D9"/>
            <w:vAlign w:val="bottom"/>
            <w:hideMark/>
          </w:tcPr>
          <w:p w14:paraId="71EDC50D" w14:textId="77777777" w:rsidR="003F4FC1" w:rsidRPr="006654F6" w:rsidRDefault="003F4FC1" w:rsidP="003F4FC1">
            <w:pPr>
              <w:jc w:val="right"/>
              <w:rPr>
                <w:rFonts w:ascii="Calibri" w:eastAsia="Times New Roman" w:hAnsi="Calibri" w:cs="Calibri"/>
                <w:lang w:eastAsia="en-GB"/>
              </w:rPr>
            </w:pPr>
            <w:r w:rsidRPr="006654F6">
              <w:rPr>
                <w:rFonts w:ascii="Calibri" w:eastAsia="Times New Roman" w:hAnsi="Calibri" w:cs="Calibri"/>
                <w:lang w:eastAsia="en-GB"/>
              </w:rPr>
              <w:t>Physical Treatment</w:t>
            </w:r>
          </w:p>
        </w:tc>
        <w:tc>
          <w:tcPr>
            <w:tcW w:w="2347" w:type="dxa"/>
            <w:tcBorders>
              <w:top w:val="nil"/>
              <w:left w:val="nil"/>
              <w:bottom w:val="single" w:sz="4" w:space="0" w:color="auto"/>
              <w:right w:val="single" w:sz="4" w:space="0" w:color="auto"/>
            </w:tcBorders>
            <w:shd w:val="clear" w:color="auto" w:fill="auto"/>
            <w:vAlign w:val="bottom"/>
            <w:hideMark/>
          </w:tcPr>
          <w:p w14:paraId="49AD75B0" w14:textId="71D6C256" w:rsidR="003F4FC1" w:rsidRPr="006654F6" w:rsidRDefault="003F4FC1" w:rsidP="003F4FC1">
            <w:pPr>
              <w:jc w:val="right"/>
              <w:rPr>
                <w:rFonts w:ascii="Calibri" w:eastAsia="Times New Roman" w:hAnsi="Calibri" w:cs="Calibri"/>
                <w:lang w:eastAsia="en-GB"/>
              </w:rPr>
            </w:pPr>
            <w:r>
              <w:rPr>
                <w:rFonts w:ascii="Calibri" w:hAnsi="Calibri" w:cs="Calibri"/>
              </w:rPr>
              <w:t>117,122</w:t>
            </w:r>
          </w:p>
        </w:tc>
        <w:tc>
          <w:tcPr>
            <w:tcW w:w="1105" w:type="dxa"/>
            <w:tcBorders>
              <w:top w:val="nil"/>
              <w:left w:val="nil"/>
              <w:bottom w:val="single" w:sz="4" w:space="0" w:color="auto"/>
              <w:right w:val="single" w:sz="4" w:space="0" w:color="auto"/>
            </w:tcBorders>
            <w:shd w:val="clear" w:color="auto" w:fill="auto"/>
            <w:noWrap/>
            <w:vAlign w:val="bottom"/>
            <w:hideMark/>
          </w:tcPr>
          <w:p w14:paraId="1E88C56B" w14:textId="78C3CE14" w:rsidR="003F4FC1" w:rsidRPr="006654F6" w:rsidRDefault="003F4FC1" w:rsidP="003F4FC1">
            <w:pPr>
              <w:jc w:val="right"/>
              <w:rPr>
                <w:rFonts w:ascii="Calibri" w:eastAsia="Times New Roman" w:hAnsi="Calibri" w:cs="Calibri"/>
                <w:color w:val="000000"/>
                <w:lang w:eastAsia="en-GB"/>
              </w:rPr>
            </w:pPr>
            <w:r>
              <w:rPr>
                <w:rFonts w:ascii="Calibri" w:hAnsi="Calibri" w:cs="Calibri"/>
                <w:color w:val="000000"/>
              </w:rPr>
              <w:t>10.52</w:t>
            </w:r>
          </w:p>
        </w:tc>
        <w:tc>
          <w:tcPr>
            <w:tcW w:w="1843" w:type="dxa"/>
            <w:tcBorders>
              <w:top w:val="nil"/>
              <w:left w:val="nil"/>
              <w:bottom w:val="single" w:sz="4" w:space="0" w:color="auto"/>
              <w:right w:val="single" w:sz="4" w:space="0" w:color="auto"/>
            </w:tcBorders>
            <w:shd w:val="clear" w:color="auto" w:fill="auto"/>
            <w:vAlign w:val="bottom"/>
          </w:tcPr>
          <w:p w14:paraId="07813A0D" w14:textId="677AB4C8" w:rsidR="003F4FC1" w:rsidRPr="006654F6" w:rsidRDefault="003F4FC1" w:rsidP="003F4FC1">
            <w:pPr>
              <w:jc w:val="right"/>
              <w:rPr>
                <w:rFonts w:ascii="Calibri" w:eastAsia="Times New Roman" w:hAnsi="Calibri" w:cs="Calibri"/>
                <w:color w:val="000000"/>
                <w:lang w:eastAsia="en-GB"/>
              </w:rPr>
            </w:pPr>
            <w:r w:rsidRPr="00262E88">
              <w:rPr>
                <w:rFonts w:ascii="Calibri" w:eastAsia="Times New Roman" w:hAnsi="Calibri" w:cs="Calibri"/>
                <w:lang w:eastAsia="en-GB"/>
              </w:rPr>
              <w:t>7,512</w:t>
            </w:r>
          </w:p>
        </w:tc>
        <w:tc>
          <w:tcPr>
            <w:tcW w:w="1508" w:type="dxa"/>
            <w:tcBorders>
              <w:top w:val="nil"/>
              <w:left w:val="nil"/>
              <w:bottom w:val="single" w:sz="4" w:space="0" w:color="auto"/>
              <w:right w:val="single" w:sz="4" w:space="0" w:color="auto"/>
            </w:tcBorders>
            <w:shd w:val="clear" w:color="auto" w:fill="auto"/>
            <w:vAlign w:val="bottom"/>
          </w:tcPr>
          <w:p w14:paraId="32F0476D" w14:textId="69763DE9" w:rsidR="003F4FC1" w:rsidRPr="006654F6" w:rsidRDefault="003F4FC1" w:rsidP="003F4FC1">
            <w:pPr>
              <w:jc w:val="right"/>
              <w:rPr>
                <w:rFonts w:ascii="Calibri" w:eastAsia="Times New Roman" w:hAnsi="Calibri" w:cs="Calibri"/>
                <w:color w:val="000000"/>
                <w:lang w:eastAsia="en-GB"/>
              </w:rPr>
            </w:pPr>
            <w:r w:rsidRPr="00262E88">
              <w:rPr>
                <w:rFonts w:ascii="Calibri" w:eastAsia="Times New Roman" w:hAnsi="Calibri" w:cs="Calibri"/>
                <w:color w:val="000000"/>
                <w:lang w:eastAsia="en-GB"/>
              </w:rPr>
              <w:t>0.87</w:t>
            </w:r>
          </w:p>
        </w:tc>
      </w:tr>
      <w:tr w:rsidR="003F4FC1" w:rsidRPr="006654F6" w14:paraId="3021486A" w14:textId="46F0FF88" w:rsidTr="00495169">
        <w:trPr>
          <w:trHeight w:val="300"/>
        </w:trPr>
        <w:tc>
          <w:tcPr>
            <w:tcW w:w="2213" w:type="dxa"/>
            <w:tcBorders>
              <w:top w:val="nil"/>
              <w:left w:val="single" w:sz="4" w:space="0" w:color="auto"/>
              <w:bottom w:val="single" w:sz="4" w:space="0" w:color="auto"/>
              <w:right w:val="single" w:sz="4" w:space="0" w:color="auto"/>
            </w:tcBorders>
            <w:shd w:val="clear" w:color="000000" w:fill="FFE699"/>
            <w:vAlign w:val="bottom"/>
            <w:hideMark/>
          </w:tcPr>
          <w:p w14:paraId="299BDA99" w14:textId="77777777" w:rsidR="003F4FC1" w:rsidRPr="006654F6" w:rsidRDefault="003F4FC1" w:rsidP="003F4FC1">
            <w:pPr>
              <w:jc w:val="right"/>
              <w:rPr>
                <w:rFonts w:ascii="Calibri" w:eastAsia="Times New Roman" w:hAnsi="Calibri" w:cs="Calibri"/>
                <w:lang w:eastAsia="en-GB"/>
              </w:rPr>
            </w:pPr>
            <w:r w:rsidRPr="006654F6">
              <w:rPr>
                <w:rFonts w:ascii="Calibri" w:eastAsia="Times New Roman" w:hAnsi="Calibri" w:cs="Calibri"/>
                <w:lang w:eastAsia="en-GB"/>
              </w:rPr>
              <w:t>Landfill &amp; Treatment</w:t>
            </w:r>
          </w:p>
        </w:tc>
        <w:tc>
          <w:tcPr>
            <w:tcW w:w="2347" w:type="dxa"/>
            <w:tcBorders>
              <w:top w:val="nil"/>
              <w:left w:val="nil"/>
              <w:bottom w:val="single" w:sz="4" w:space="0" w:color="auto"/>
              <w:right w:val="single" w:sz="4" w:space="0" w:color="auto"/>
            </w:tcBorders>
            <w:shd w:val="clear" w:color="auto" w:fill="auto"/>
            <w:vAlign w:val="bottom"/>
            <w:hideMark/>
          </w:tcPr>
          <w:p w14:paraId="5B1DD648" w14:textId="78578CDA" w:rsidR="003F4FC1" w:rsidRPr="006654F6" w:rsidRDefault="003F4FC1" w:rsidP="003F4FC1">
            <w:pPr>
              <w:jc w:val="right"/>
              <w:rPr>
                <w:rFonts w:ascii="Calibri" w:eastAsia="Times New Roman" w:hAnsi="Calibri" w:cs="Calibri"/>
                <w:lang w:eastAsia="en-GB"/>
              </w:rPr>
            </w:pPr>
            <w:r>
              <w:rPr>
                <w:rFonts w:ascii="Calibri" w:hAnsi="Calibri" w:cs="Calibri"/>
              </w:rPr>
              <w:t>70,632</w:t>
            </w:r>
          </w:p>
        </w:tc>
        <w:tc>
          <w:tcPr>
            <w:tcW w:w="1105" w:type="dxa"/>
            <w:tcBorders>
              <w:top w:val="nil"/>
              <w:left w:val="nil"/>
              <w:bottom w:val="single" w:sz="4" w:space="0" w:color="auto"/>
              <w:right w:val="single" w:sz="4" w:space="0" w:color="auto"/>
            </w:tcBorders>
            <w:shd w:val="clear" w:color="auto" w:fill="auto"/>
            <w:noWrap/>
            <w:vAlign w:val="bottom"/>
            <w:hideMark/>
          </w:tcPr>
          <w:p w14:paraId="22B26033" w14:textId="63EE5F14" w:rsidR="003F4FC1" w:rsidRPr="006654F6" w:rsidRDefault="003F4FC1" w:rsidP="003F4FC1">
            <w:pPr>
              <w:jc w:val="right"/>
              <w:rPr>
                <w:rFonts w:ascii="Calibri" w:eastAsia="Times New Roman" w:hAnsi="Calibri" w:cs="Calibri"/>
                <w:color w:val="000000"/>
                <w:lang w:eastAsia="en-GB"/>
              </w:rPr>
            </w:pPr>
            <w:r>
              <w:rPr>
                <w:rFonts w:ascii="Calibri" w:hAnsi="Calibri" w:cs="Calibri"/>
                <w:color w:val="000000"/>
              </w:rPr>
              <w:t>6.34</w:t>
            </w:r>
          </w:p>
        </w:tc>
        <w:tc>
          <w:tcPr>
            <w:tcW w:w="1843" w:type="dxa"/>
            <w:tcBorders>
              <w:top w:val="nil"/>
              <w:left w:val="nil"/>
              <w:bottom w:val="single" w:sz="4" w:space="0" w:color="auto"/>
              <w:right w:val="single" w:sz="4" w:space="0" w:color="auto"/>
            </w:tcBorders>
            <w:shd w:val="clear" w:color="auto" w:fill="auto"/>
          </w:tcPr>
          <w:p w14:paraId="2C9E61DC" w14:textId="76F3D8B9" w:rsidR="003F4FC1" w:rsidRPr="006654F6" w:rsidRDefault="003F4FC1" w:rsidP="003F4FC1">
            <w:pPr>
              <w:jc w:val="right"/>
              <w:rPr>
                <w:rFonts w:ascii="Calibri" w:eastAsia="Times New Roman" w:hAnsi="Calibri" w:cs="Calibri"/>
                <w:color w:val="000000"/>
                <w:lang w:eastAsia="en-GB"/>
              </w:rPr>
            </w:pPr>
            <w:r>
              <w:rPr>
                <w:rFonts w:ascii="Calibri" w:eastAsia="Times New Roman" w:hAnsi="Calibri" w:cs="Calibri"/>
                <w:color w:val="000000"/>
                <w:lang w:eastAsia="en-GB"/>
              </w:rPr>
              <w:t>-</w:t>
            </w:r>
          </w:p>
        </w:tc>
        <w:tc>
          <w:tcPr>
            <w:tcW w:w="1508" w:type="dxa"/>
            <w:tcBorders>
              <w:top w:val="nil"/>
              <w:left w:val="nil"/>
              <w:bottom w:val="single" w:sz="4" w:space="0" w:color="auto"/>
              <w:right w:val="single" w:sz="4" w:space="0" w:color="auto"/>
            </w:tcBorders>
            <w:shd w:val="clear" w:color="auto" w:fill="auto"/>
          </w:tcPr>
          <w:p w14:paraId="2687E391" w14:textId="744E327D" w:rsidR="003F4FC1" w:rsidRPr="006654F6" w:rsidRDefault="003F4FC1" w:rsidP="003F4FC1">
            <w:pPr>
              <w:jc w:val="right"/>
              <w:rPr>
                <w:rFonts w:ascii="Calibri" w:eastAsia="Times New Roman" w:hAnsi="Calibri" w:cs="Calibri"/>
                <w:color w:val="000000"/>
                <w:lang w:eastAsia="en-GB"/>
              </w:rPr>
            </w:pPr>
            <w:r>
              <w:rPr>
                <w:rFonts w:ascii="Calibri" w:eastAsia="Times New Roman" w:hAnsi="Calibri" w:cs="Calibri"/>
                <w:color w:val="000000"/>
                <w:lang w:eastAsia="en-GB"/>
              </w:rPr>
              <w:t>-</w:t>
            </w:r>
          </w:p>
        </w:tc>
      </w:tr>
      <w:tr w:rsidR="003F4FC1" w:rsidRPr="006654F6" w14:paraId="0D33AC54" w14:textId="4631FF60" w:rsidTr="00495169">
        <w:trPr>
          <w:trHeight w:val="300"/>
        </w:trPr>
        <w:tc>
          <w:tcPr>
            <w:tcW w:w="2213" w:type="dxa"/>
            <w:tcBorders>
              <w:top w:val="nil"/>
              <w:left w:val="single" w:sz="4" w:space="0" w:color="auto"/>
              <w:bottom w:val="single" w:sz="4" w:space="0" w:color="auto"/>
              <w:right w:val="single" w:sz="4" w:space="0" w:color="auto"/>
            </w:tcBorders>
            <w:shd w:val="clear" w:color="000000" w:fill="FFE699"/>
            <w:vAlign w:val="bottom"/>
            <w:hideMark/>
          </w:tcPr>
          <w:p w14:paraId="07E3D3B7" w14:textId="77777777" w:rsidR="003F4FC1" w:rsidRPr="006654F6" w:rsidRDefault="003F4FC1" w:rsidP="003F4FC1">
            <w:pPr>
              <w:jc w:val="right"/>
              <w:rPr>
                <w:rFonts w:ascii="Calibri" w:eastAsia="Times New Roman" w:hAnsi="Calibri" w:cs="Calibri"/>
                <w:lang w:eastAsia="en-GB"/>
              </w:rPr>
            </w:pPr>
            <w:r w:rsidRPr="006654F6">
              <w:rPr>
                <w:rFonts w:ascii="Calibri" w:eastAsia="Times New Roman" w:hAnsi="Calibri" w:cs="Calibri"/>
                <w:lang w:eastAsia="en-GB"/>
              </w:rPr>
              <w:t>Landfill</w:t>
            </w:r>
          </w:p>
        </w:tc>
        <w:tc>
          <w:tcPr>
            <w:tcW w:w="2347" w:type="dxa"/>
            <w:tcBorders>
              <w:top w:val="nil"/>
              <w:left w:val="nil"/>
              <w:bottom w:val="single" w:sz="4" w:space="0" w:color="auto"/>
              <w:right w:val="single" w:sz="4" w:space="0" w:color="auto"/>
            </w:tcBorders>
            <w:shd w:val="clear" w:color="auto" w:fill="auto"/>
            <w:vAlign w:val="bottom"/>
            <w:hideMark/>
          </w:tcPr>
          <w:p w14:paraId="4A3DD8B7" w14:textId="512BF40C" w:rsidR="003F4FC1" w:rsidRPr="006654F6" w:rsidRDefault="003F4FC1" w:rsidP="003F4FC1">
            <w:pPr>
              <w:jc w:val="right"/>
              <w:rPr>
                <w:rFonts w:ascii="Calibri" w:eastAsia="Times New Roman" w:hAnsi="Calibri" w:cs="Calibri"/>
                <w:lang w:eastAsia="en-GB"/>
              </w:rPr>
            </w:pPr>
            <w:r>
              <w:rPr>
                <w:rFonts w:ascii="Calibri" w:hAnsi="Calibri" w:cs="Calibri"/>
              </w:rPr>
              <w:t>54,200</w:t>
            </w:r>
          </w:p>
        </w:tc>
        <w:tc>
          <w:tcPr>
            <w:tcW w:w="1105" w:type="dxa"/>
            <w:tcBorders>
              <w:top w:val="nil"/>
              <w:left w:val="nil"/>
              <w:bottom w:val="single" w:sz="4" w:space="0" w:color="auto"/>
              <w:right w:val="single" w:sz="4" w:space="0" w:color="auto"/>
            </w:tcBorders>
            <w:shd w:val="clear" w:color="auto" w:fill="auto"/>
            <w:noWrap/>
            <w:vAlign w:val="bottom"/>
            <w:hideMark/>
          </w:tcPr>
          <w:p w14:paraId="41AFB807" w14:textId="202B88C3" w:rsidR="003F4FC1" w:rsidRPr="006654F6" w:rsidRDefault="003F4FC1" w:rsidP="003F4FC1">
            <w:pPr>
              <w:jc w:val="right"/>
              <w:rPr>
                <w:rFonts w:ascii="Calibri" w:eastAsia="Times New Roman" w:hAnsi="Calibri" w:cs="Calibri"/>
                <w:color w:val="000000"/>
                <w:lang w:eastAsia="en-GB"/>
              </w:rPr>
            </w:pPr>
            <w:r>
              <w:rPr>
                <w:rFonts w:ascii="Calibri" w:hAnsi="Calibri" w:cs="Calibri"/>
                <w:color w:val="000000"/>
              </w:rPr>
              <w:t>4.87</w:t>
            </w:r>
          </w:p>
        </w:tc>
        <w:tc>
          <w:tcPr>
            <w:tcW w:w="1843" w:type="dxa"/>
            <w:tcBorders>
              <w:top w:val="nil"/>
              <w:left w:val="nil"/>
              <w:bottom w:val="single" w:sz="4" w:space="0" w:color="auto"/>
              <w:right w:val="single" w:sz="4" w:space="0" w:color="auto"/>
            </w:tcBorders>
            <w:shd w:val="clear" w:color="auto" w:fill="auto"/>
          </w:tcPr>
          <w:p w14:paraId="18DE0DC7" w14:textId="0D22B0AC" w:rsidR="003F4FC1" w:rsidRPr="006654F6" w:rsidRDefault="003F4FC1" w:rsidP="003F4FC1">
            <w:pPr>
              <w:jc w:val="right"/>
              <w:rPr>
                <w:rFonts w:ascii="Calibri" w:eastAsia="Times New Roman" w:hAnsi="Calibri" w:cs="Calibri"/>
                <w:color w:val="000000"/>
                <w:lang w:eastAsia="en-GB"/>
              </w:rPr>
            </w:pPr>
            <w:r w:rsidRPr="00262E88">
              <w:rPr>
                <w:rFonts w:ascii="Calibri" w:eastAsia="Times New Roman" w:hAnsi="Calibri" w:cs="Calibri"/>
                <w:lang w:eastAsia="en-GB"/>
              </w:rPr>
              <w:t>447,938</w:t>
            </w:r>
          </w:p>
        </w:tc>
        <w:tc>
          <w:tcPr>
            <w:tcW w:w="1508" w:type="dxa"/>
            <w:tcBorders>
              <w:top w:val="nil"/>
              <w:left w:val="nil"/>
              <w:bottom w:val="single" w:sz="4" w:space="0" w:color="auto"/>
              <w:right w:val="single" w:sz="4" w:space="0" w:color="auto"/>
            </w:tcBorders>
            <w:shd w:val="clear" w:color="auto" w:fill="auto"/>
          </w:tcPr>
          <w:p w14:paraId="071EED94" w14:textId="3D86B803" w:rsidR="003F4FC1" w:rsidRPr="006654F6" w:rsidRDefault="003F4FC1" w:rsidP="003F4FC1">
            <w:pPr>
              <w:jc w:val="right"/>
              <w:rPr>
                <w:rFonts w:ascii="Calibri" w:eastAsia="Times New Roman" w:hAnsi="Calibri" w:cs="Calibri"/>
                <w:color w:val="000000"/>
                <w:lang w:eastAsia="en-GB"/>
              </w:rPr>
            </w:pPr>
            <w:r w:rsidRPr="00262E88">
              <w:rPr>
                <w:rFonts w:ascii="Calibri" w:eastAsia="Times New Roman" w:hAnsi="Calibri" w:cs="Calibri"/>
                <w:color w:val="000000"/>
                <w:lang w:eastAsia="en-GB"/>
              </w:rPr>
              <w:t>51.76</w:t>
            </w:r>
          </w:p>
        </w:tc>
      </w:tr>
      <w:tr w:rsidR="003F4FC1" w:rsidRPr="006654F6" w14:paraId="29016AC8" w14:textId="488D093A" w:rsidTr="009E4CC8">
        <w:trPr>
          <w:trHeight w:val="300"/>
        </w:trPr>
        <w:tc>
          <w:tcPr>
            <w:tcW w:w="2213" w:type="dxa"/>
            <w:tcBorders>
              <w:top w:val="nil"/>
              <w:left w:val="single" w:sz="4" w:space="0" w:color="auto"/>
              <w:bottom w:val="single" w:sz="4" w:space="0" w:color="auto"/>
              <w:right w:val="single" w:sz="4" w:space="0" w:color="auto"/>
            </w:tcBorders>
            <w:shd w:val="clear" w:color="auto" w:fill="auto"/>
            <w:noWrap/>
            <w:vAlign w:val="bottom"/>
            <w:hideMark/>
          </w:tcPr>
          <w:p w14:paraId="1266C672" w14:textId="77777777" w:rsidR="003F4FC1" w:rsidRPr="006654F6" w:rsidRDefault="003F4FC1" w:rsidP="003F4FC1">
            <w:pPr>
              <w:jc w:val="right"/>
              <w:rPr>
                <w:rFonts w:ascii="Calibri" w:eastAsia="Times New Roman" w:hAnsi="Calibri" w:cs="Calibri"/>
                <w:b/>
                <w:bCs/>
                <w:lang w:eastAsia="en-GB"/>
              </w:rPr>
            </w:pPr>
            <w:r w:rsidRPr="006654F6">
              <w:rPr>
                <w:rFonts w:ascii="Calibri" w:eastAsia="Times New Roman" w:hAnsi="Calibri" w:cs="Calibri"/>
                <w:b/>
                <w:bCs/>
                <w:lang w:eastAsia="en-GB"/>
              </w:rPr>
              <w:t>Total</w:t>
            </w:r>
          </w:p>
        </w:tc>
        <w:tc>
          <w:tcPr>
            <w:tcW w:w="2347" w:type="dxa"/>
            <w:tcBorders>
              <w:top w:val="nil"/>
              <w:left w:val="nil"/>
              <w:bottom w:val="single" w:sz="4" w:space="0" w:color="auto"/>
              <w:right w:val="single" w:sz="4" w:space="0" w:color="auto"/>
            </w:tcBorders>
            <w:shd w:val="clear" w:color="auto" w:fill="auto"/>
            <w:noWrap/>
            <w:vAlign w:val="bottom"/>
            <w:hideMark/>
          </w:tcPr>
          <w:p w14:paraId="0BD7B22C" w14:textId="54F98BFC" w:rsidR="003F4FC1" w:rsidRPr="006654F6" w:rsidRDefault="003F4FC1" w:rsidP="003F4FC1">
            <w:pPr>
              <w:jc w:val="right"/>
              <w:rPr>
                <w:rFonts w:ascii="Calibri" w:eastAsia="Times New Roman" w:hAnsi="Calibri" w:cs="Calibri"/>
                <w:b/>
                <w:bCs/>
                <w:lang w:eastAsia="en-GB"/>
              </w:rPr>
            </w:pPr>
            <w:r>
              <w:rPr>
                <w:rFonts w:ascii="Calibri" w:hAnsi="Calibri" w:cs="Calibri"/>
                <w:b/>
                <w:bCs/>
              </w:rPr>
              <w:t xml:space="preserve">                           1,113,433 </w:t>
            </w:r>
          </w:p>
        </w:tc>
        <w:tc>
          <w:tcPr>
            <w:tcW w:w="1105" w:type="dxa"/>
            <w:tcBorders>
              <w:top w:val="nil"/>
              <w:left w:val="nil"/>
              <w:bottom w:val="single" w:sz="4" w:space="0" w:color="auto"/>
              <w:right w:val="single" w:sz="4" w:space="0" w:color="auto"/>
            </w:tcBorders>
            <w:shd w:val="clear" w:color="auto" w:fill="auto"/>
            <w:noWrap/>
            <w:vAlign w:val="bottom"/>
            <w:hideMark/>
          </w:tcPr>
          <w:p w14:paraId="6CDB02A5" w14:textId="149A636E" w:rsidR="003F4FC1" w:rsidRPr="006654F6" w:rsidRDefault="003F4FC1" w:rsidP="003F4FC1">
            <w:pPr>
              <w:jc w:val="right"/>
              <w:rPr>
                <w:rFonts w:ascii="Calibri" w:eastAsia="Times New Roman" w:hAnsi="Calibri" w:cs="Calibri"/>
                <w:color w:val="000000"/>
                <w:lang w:eastAsia="en-GB"/>
              </w:rPr>
            </w:pPr>
            <w:r>
              <w:rPr>
                <w:rFonts w:ascii="Calibri" w:hAnsi="Calibri" w:cs="Calibri"/>
                <w:color w:val="000000"/>
              </w:rPr>
              <w:t>100.00</w:t>
            </w:r>
          </w:p>
        </w:tc>
        <w:tc>
          <w:tcPr>
            <w:tcW w:w="1843" w:type="dxa"/>
            <w:tcBorders>
              <w:top w:val="nil"/>
              <w:left w:val="nil"/>
              <w:bottom w:val="single" w:sz="4" w:space="0" w:color="auto"/>
              <w:right w:val="single" w:sz="4" w:space="0" w:color="auto"/>
            </w:tcBorders>
            <w:vAlign w:val="bottom"/>
          </w:tcPr>
          <w:p w14:paraId="75AA3670" w14:textId="6B6EAFEE" w:rsidR="003F4FC1" w:rsidRPr="006654F6" w:rsidRDefault="003F4FC1" w:rsidP="003F4FC1">
            <w:pPr>
              <w:jc w:val="right"/>
              <w:rPr>
                <w:rFonts w:ascii="Calibri" w:eastAsia="Times New Roman" w:hAnsi="Calibri" w:cs="Calibri"/>
                <w:color w:val="000000"/>
                <w:lang w:eastAsia="en-GB"/>
              </w:rPr>
            </w:pPr>
            <w:r w:rsidRPr="00262E88">
              <w:rPr>
                <w:rFonts w:ascii="Calibri" w:eastAsia="Times New Roman" w:hAnsi="Calibri" w:cs="Calibri"/>
                <w:b/>
                <w:bCs/>
                <w:lang w:eastAsia="en-GB"/>
              </w:rPr>
              <w:t xml:space="preserve">                               865,408 </w:t>
            </w:r>
          </w:p>
        </w:tc>
        <w:tc>
          <w:tcPr>
            <w:tcW w:w="1508" w:type="dxa"/>
            <w:tcBorders>
              <w:top w:val="nil"/>
              <w:left w:val="nil"/>
              <w:bottom w:val="single" w:sz="4" w:space="0" w:color="auto"/>
              <w:right w:val="single" w:sz="4" w:space="0" w:color="auto"/>
            </w:tcBorders>
            <w:vAlign w:val="bottom"/>
          </w:tcPr>
          <w:p w14:paraId="65A7D454" w14:textId="10602F35" w:rsidR="003F4FC1" w:rsidRPr="006654F6" w:rsidRDefault="003F4FC1" w:rsidP="003F4FC1">
            <w:pPr>
              <w:jc w:val="right"/>
              <w:rPr>
                <w:rFonts w:ascii="Calibri" w:eastAsia="Times New Roman" w:hAnsi="Calibri" w:cs="Calibri"/>
                <w:color w:val="000000"/>
                <w:lang w:eastAsia="en-GB"/>
              </w:rPr>
            </w:pPr>
            <w:r w:rsidRPr="00262E88">
              <w:rPr>
                <w:rFonts w:ascii="Calibri" w:eastAsia="Times New Roman" w:hAnsi="Calibri" w:cs="Calibri"/>
                <w:color w:val="000000"/>
                <w:lang w:eastAsia="en-GB"/>
              </w:rPr>
              <w:t>100.00</w:t>
            </w:r>
          </w:p>
        </w:tc>
      </w:tr>
    </w:tbl>
    <w:p w14:paraId="3AAE88DC" w14:textId="7CDD79E6" w:rsidR="00135F98" w:rsidRPr="001C2DF2" w:rsidRDefault="00135F98" w:rsidP="00D73374">
      <w:pPr>
        <w:numPr>
          <w:ilvl w:val="0"/>
          <w:numId w:val="3"/>
        </w:numPr>
        <w:spacing w:before="240" w:after="200" w:line="276" w:lineRule="auto"/>
        <w:rPr>
          <w:rFonts w:ascii="Arial" w:eastAsia="Times New Roman" w:hAnsi="Arial" w:cs="Arial"/>
        </w:rPr>
      </w:pPr>
      <w:r w:rsidRPr="001C2DF2">
        <w:rPr>
          <w:rFonts w:ascii="Arial" w:eastAsia="Times New Roman" w:hAnsi="Arial" w:cs="Arial"/>
        </w:rPr>
        <w:t xml:space="preserve">The </w:t>
      </w:r>
      <w:r w:rsidR="00AA10D9">
        <w:rPr>
          <w:rFonts w:ascii="Arial" w:eastAsia="Times New Roman" w:hAnsi="Arial" w:cs="Arial"/>
        </w:rPr>
        <w:t xml:space="preserve">2012 </w:t>
      </w:r>
      <w:r w:rsidR="0034640D">
        <w:rPr>
          <w:rFonts w:ascii="Arial" w:eastAsia="Times New Roman" w:hAnsi="Arial" w:cs="Arial"/>
        </w:rPr>
        <w:t xml:space="preserve">BDR Waste </w:t>
      </w:r>
      <w:r w:rsidR="0034640D" w:rsidRPr="001C2DF2">
        <w:rPr>
          <w:rFonts w:ascii="Arial" w:eastAsia="Times New Roman" w:hAnsi="Arial" w:cs="Arial"/>
        </w:rPr>
        <w:t xml:space="preserve">plan </w:t>
      </w:r>
      <w:r w:rsidR="0034640D">
        <w:rPr>
          <w:rFonts w:ascii="Arial" w:eastAsia="Times New Roman" w:hAnsi="Arial" w:cs="Arial"/>
        </w:rPr>
        <w:t xml:space="preserve">is still the adopted plan for Doncaster and Rotherham. The </w:t>
      </w:r>
      <w:r w:rsidRPr="001C2DF2">
        <w:rPr>
          <w:rFonts w:ascii="Arial" w:eastAsia="Times New Roman" w:hAnsi="Arial" w:cs="Arial"/>
        </w:rPr>
        <w:t>Key outcomes are:</w:t>
      </w:r>
    </w:p>
    <w:p w14:paraId="54C52DEC" w14:textId="77777777" w:rsidR="00135F98" w:rsidRPr="001C2DF2" w:rsidRDefault="00135F98" w:rsidP="00D73374">
      <w:pPr>
        <w:numPr>
          <w:ilvl w:val="0"/>
          <w:numId w:val="32"/>
        </w:numPr>
        <w:spacing w:line="276" w:lineRule="auto"/>
        <w:rPr>
          <w:rFonts w:ascii="Arial" w:eastAsia="Times New Roman" w:hAnsi="Arial" w:cs="Times New Roman"/>
        </w:rPr>
      </w:pPr>
      <w:r w:rsidRPr="001C2DF2">
        <w:rPr>
          <w:rFonts w:ascii="Arial" w:eastAsia="Times New Roman" w:hAnsi="Arial" w:cs="Times New Roman"/>
        </w:rPr>
        <w:t>The bulk of CDEW will continue to be used close to the point of origin</w:t>
      </w:r>
    </w:p>
    <w:p w14:paraId="2B7F93F2" w14:textId="77777777" w:rsidR="00135F98" w:rsidRPr="001C2DF2" w:rsidRDefault="00135F98" w:rsidP="00D73374">
      <w:pPr>
        <w:numPr>
          <w:ilvl w:val="0"/>
          <w:numId w:val="32"/>
        </w:numPr>
        <w:spacing w:line="276" w:lineRule="auto"/>
        <w:rPr>
          <w:rFonts w:ascii="Arial" w:eastAsia="Times New Roman" w:hAnsi="Arial" w:cs="Times New Roman"/>
        </w:rPr>
      </w:pPr>
      <w:r w:rsidRPr="001C2DF2">
        <w:rPr>
          <w:rFonts w:ascii="Arial" w:eastAsia="Times New Roman" w:hAnsi="Arial" w:cs="Times New Roman"/>
        </w:rPr>
        <w:t>Developers and contractors will voluntarily provide a waste management plan setting out how the waste generated from the site will be managed during the construction and lifetime of the project (see WCS7)</w:t>
      </w:r>
    </w:p>
    <w:p w14:paraId="585B8341" w14:textId="1E9F59BE" w:rsidR="00135F98" w:rsidRPr="001C2DF2" w:rsidRDefault="00135F98" w:rsidP="00D73374">
      <w:pPr>
        <w:numPr>
          <w:ilvl w:val="0"/>
          <w:numId w:val="32"/>
        </w:numPr>
        <w:spacing w:line="276" w:lineRule="auto"/>
        <w:rPr>
          <w:rFonts w:ascii="Arial" w:eastAsia="Times New Roman" w:hAnsi="Arial" w:cs="Times New Roman"/>
        </w:rPr>
      </w:pPr>
      <w:r w:rsidRPr="001C2DF2">
        <w:rPr>
          <w:rFonts w:ascii="Arial" w:eastAsia="Times New Roman" w:hAnsi="Arial" w:cs="Times New Roman"/>
        </w:rPr>
        <w:t xml:space="preserve">The </w:t>
      </w:r>
      <w:r w:rsidR="00EE1FCA">
        <w:rPr>
          <w:rFonts w:ascii="Arial" w:eastAsia="Times New Roman" w:hAnsi="Arial" w:cs="Times New Roman"/>
        </w:rPr>
        <w:t>authorities</w:t>
      </w:r>
      <w:r w:rsidRPr="001C2DF2">
        <w:rPr>
          <w:rFonts w:ascii="Arial" w:eastAsia="Times New Roman" w:hAnsi="Arial" w:cs="Times New Roman"/>
        </w:rPr>
        <w:t xml:space="preserve"> have sufficient capacity to deal with any inert CDEW during the life of the plan, </w:t>
      </w:r>
      <w:proofErr w:type="gramStart"/>
      <w:r w:rsidRPr="001C2DF2">
        <w:rPr>
          <w:rFonts w:ascii="Arial" w:eastAsia="Times New Roman" w:hAnsi="Arial" w:cs="Times New Roman"/>
        </w:rPr>
        <w:t>and;</w:t>
      </w:r>
      <w:proofErr w:type="gramEnd"/>
    </w:p>
    <w:p w14:paraId="49C7345F" w14:textId="77777777" w:rsidR="00135F98" w:rsidRPr="001C2DF2" w:rsidRDefault="00135F98" w:rsidP="00D73374">
      <w:pPr>
        <w:numPr>
          <w:ilvl w:val="0"/>
          <w:numId w:val="32"/>
        </w:numPr>
        <w:spacing w:line="276" w:lineRule="auto"/>
        <w:rPr>
          <w:rFonts w:ascii="Arial" w:eastAsia="Times New Roman" w:hAnsi="Arial" w:cs="Times New Roman"/>
        </w:rPr>
      </w:pPr>
      <w:r w:rsidRPr="001C2DF2">
        <w:rPr>
          <w:rFonts w:ascii="Arial" w:eastAsia="Times New Roman" w:hAnsi="Arial" w:cs="Times New Roman"/>
        </w:rPr>
        <w:t>Colliery spoil and minerals waste will be dealt with through individual core strategies</w:t>
      </w:r>
    </w:p>
    <w:p w14:paraId="218483E3" w14:textId="77777777" w:rsidR="00135F98" w:rsidRPr="000F7AA2" w:rsidRDefault="00135F98" w:rsidP="00D73374">
      <w:pPr>
        <w:pStyle w:val="Sub-heading"/>
        <w:spacing w:before="240" w:after="240" w:line="276" w:lineRule="auto"/>
        <w:jc w:val="left"/>
        <w:outlineLvl w:val="1"/>
        <w:rPr>
          <w:color w:val="auto"/>
          <w:sz w:val="24"/>
          <w:szCs w:val="24"/>
        </w:rPr>
      </w:pPr>
      <w:bookmarkStart w:id="46" w:name="_Toc473105760"/>
      <w:bookmarkStart w:id="47" w:name="_Toc500147132"/>
      <w:bookmarkStart w:id="48" w:name="_Toc198549812"/>
      <w:r w:rsidRPr="00F35175">
        <w:rPr>
          <w:color w:val="auto"/>
          <w:sz w:val="24"/>
          <w:szCs w:val="24"/>
        </w:rPr>
        <w:t>Secondary and Recycled Aggregate Infrastructure</w:t>
      </w:r>
      <w:bookmarkEnd w:id="46"/>
      <w:bookmarkEnd w:id="47"/>
      <w:bookmarkEnd w:id="48"/>
      <w:r w:rsidRPr="000F7AA2">
        <w:rPr>
          <w:color w:val="auto"/>
          <w:sz w:val="24"/>
          <w:szCs w:val="24"/>
        </w:rPr>
        <w:t xml:space="preserve"> </w:t>
      </w:r>
    </w:p>
    <w:p w14:paraId="4755308D" w14:textId="3847CBF2" w:rsidR="00135F98" w:rsidRPr="0034640D" w:rsidRDefault="007733ED" w:rsidP="00D73374">
      <w:pPr>
        <w:numPr>
          <w:ilvl w:val="0"/>
          <w:numId w:val="3"/>
        </w:numPr>
        <w:spacing w:before="240" w:after="200" w:line="276" w:lineRule="auto"/>
        <w:rPr>
          <w:rFonts w:ascii="Arial" w:eastAsia="Times New Roman" w:hAnsi="Arial" w:cs="Arial"/>
        </w:rPr>
      </w:pPr>
      <w:r>
        <w:rPr>
          <w:rFonts w:ascii="Arial" w:eastAsia="Times New Roman" w:hAnsi="Arial" w:cs="Arial"/>
        </w:rPr>
        <w:t>All w</w:t>
      </w:r>
      <w:r w:rsidR="0034640D">
        <w:rPr>
          <w:rFonts w:ascii="Arial" w:eastAsia="Times New Roman" w:hAnsi="Arial" w:cs="Arial"/>
        </w:rPr>
        <w:t>aste management sites</w:t>
      </w:r>
      <w:r w:rsidR="00464822">
        <w:rPr>
          <w:rFonts w:ascii="Arial" w:eastAsia="Times New Roman" w:hAnsi="Arial" w:cs="Arial"/>
        </w:rPr>
        <w:t xml:space="preserve"> (with extant permission)</w:t>
      </w:r>
      <w:r w:rsidR="0034640D">
        <w:rPr>
          <w:rFonts w:ascii="Arial" w:eastAsia="Times New Roman" w:hAnsi="Arial" w:cs="Arial"/>
        </w:rPr>
        <w:t xml:space="preserve"> for South Yorkshire are identified in appendix two of the South Yorkshire Waste Needs Assessment.</w:t>
      </w:r>
    </w:p>
    <w:p w14:paraId="2A3464EB" w14:textId="5BA6C878" w:rsidR="00181CDD" w:rsidRPr="000F7AA2" w:rsidRDefault="00181CDD" w:rsidP="00D73374">
      <w:pPr>
        <w:pStyle w:val="Sub-heading"/>
        <w:spacing w:before="240" w:after="240" w:line="276" w:lineRule="auto"/>
        <w:jc w:val="left"/>
        <w:outlineLvl w:val="1"/>
        <w:rPr>
          <w:color w:val="auto"/>
          <w:sz w:val="24"/>
          <w:szCs w:val="24"/>
        </w:rPr>
      </w:pPr>
      <w:bookmarkStart w:id="49" w:name="_Toc473105762"/>
      <w:bookmarkStart w:id="50" w:name="_Toc500147134"/>
      <w:bookmarkStart w:id="51" w:name="_Toc522792107"/>
      <w:bookmarkStart w:id="52" w:name="_Toc198549813"/>
      <w:r w:rsidRPr="000F7AA2">
        <w:rPr>
          <w:color w:val="auto"/>
          <w:sz w:val="24"/>
          <w:szCs w:val="24"/>
        </w:rPr>
        <w:t>Ancillary Minerals Infrastructure</w:t>
      </w:r>
      <w:bookmarkEnd w:id="49"/>
      <w:bookmarkEnd w:id="50"/>
      <w:bookmarkEnd w:id="51"/>
      <w:bookmarkEnd w:id="52"/>
    </w:p>
    <w:p w14:paraId="37106117" w14:textId="164974E2" w:rsidR="00181CDD" w:rsidRPr="008A667B" w:rsidRDefault="00181CDD" w:rsidP="00D73374">
      <w:pPr>
        <w:pStyle w:val="BodyText10"/>
        <w:numPr>
          <w:ilvl w:val="0"/>
          <w:numId w:val="3"/>
        </w:numPr>
        <w:spacing w:after="240" w:line="276" w:lineRule="auto"/>
        <w:rPr>
          <w:b/>
          <w:sz w:val="24"/>
          <w:szCs w:val="24"/>
        </w:rPr>
      </w:pPr>
      <w:r w:rsidRPr="00807BF0">
        <w:rPr>
          <w:color w:val="auto"/>
          <w:sz w:val="22"/>
          <w:szCs w:val="22"/>
        </w:rPr>
        <w:t xml:space="preserve">The quarry industry is supported by a variety of infrastructure. </w:t>
      </w:r>
      <w:proofErr w:type="gramStart"/>
      <w:r w:rsidRPr="00807BF0">
        <w:rPr>
          <w:color w:val="auto"/>
          <w:sz w:val="22"/>
          <w:szCs w:val="22"/>
        </w:rPr>
        <w:t>A number of</w:t>
      </w:r>
      <w:proofErr w:type="gramEnd"/>
      <w:r w:rsidRPr="00807BF0">
        <w:rPr>
          <w:color w:val="auto"/>
          <w:sz w:val="22"/>
          <w:szCs w:val="22"/>
        </w:rPr>
        <w:t xml:space="preserve"> screening, production, processing and handling facilities are located in Donca</w:t>
      </w:r>
      <w:r w:rsidR="00ED6723">
        <w:rPr>
          <w:color w:val="auto"/>
          <w:sz w:val="22"/>
          <w:szCs w:val="22"/>
        </w:rPr>
        <w:t>ster and Rotherham. See tables 1</w:t>
      </w:r>
      <w:r w:rsidR="003B0BA3">
        <w:rPr>
          <w:color w:val="auto"/>
          <w:sz w:val="22"/>
          <w:szCs w:val="22"/>
        </w:rPr>
        <w:t>2</w:t>
      </w:r>
      <w:r w:rsidR="00ED6723">
        <w:rPr>
          <w:color w:val="auto"/>
          <w:sz w:val="22"/>
          <w:szCs w:val="22"/>
        </w:rPr>
        <w:t xml:space="preserve"> and 1</w:t>
      </w:r>
      <w:r w:rsidR="003B0BA3">
        <w:rPr>
          <w:color w:val="auto"/>
          <w:sz w:val="22"/>
          <w:szCs w:val="22"/>
        </w:rPr>
        <w:t>3</w:t>
      </w:r>
      <w:r w:rsidRPr="00807BF0">
        <w:rPr>
          <w:color w:val="auto"/>
          <w:sz w:val="22"/>
          <w:szCs w:val="22"/>
        </w:rPr>
        <w:t xml:space="preserve"> below:</w:t>
      </w:r>
    </w:p>
    <w:p w14:paraId="0A698168" w14:textId="7C5C60F2" w:rsidR="00181CDD" w:rsidRPr="00807BF0" w:rsidRDefault="006277C1" w:rsidP="00B36636">
      <w:pPr>
        <w:pStyle w:val="Sub-heading"/>
        <w:spacing w:line="276" w:lineRule="auto"/>
        <w:ind w:left="284"/>
        <w:jc w:val="left"/>
        <w:outlineLvl w:val="1"/>
        <w:rPr>
          <w:color w:val="auto"/>
          <w:sz w:val="22"/>
          <w:szCs w:val="22"/>
        </w:rPr>
      </w:pPr>
      <w:bookmarkStart w:id="53" w:name="_Toc473105763"/>
      <w:bookmarkStart w:id="54" w:name="_Toc500147135"/>
      <w:bookmarkStart w:id="55" w:name="_Toc522792108"/>
      <w:bookmarkStart w:id="56" w:name="_Toc198549814"/>
      <w:r>
        <w:rPr>
          <w:color w:val="auto"/>
          <w:sz w:val="22"/>
          <w:szCs w:val="22"/>
        </w:rPr>
        <w:t>Table 1</w:t>
      </w:r>
      <w:r w:rsidR="004C6053">
        <w:rPr>
          <w:color w:val="auto"/>
          <w:sz w:val="22"/>
          <w:szCs w:val="22"/>
        </w:rPr>
        <w:t>0</w:t>
      </w:r>
      <w:r>
        <w:rPr>
          <w:color w:val="auto"/>
          <w:sz w:val="22"/>
          <w:szCs w:val="22"/>
        </w:rPr>
        <w:t>.</w:t>
      </w:r>
      <w:r w:rsidR="00181CDD" w:rsidRPr="00807BF0">
        <w:rPr>
          <w:color w:val="auto"/>
          <w:sz w:val="22"/>
          <w:szCs w:val="22"/>
        </w:rPr>
        <w:t xml:space="preserve"> Asphalt Plants</w:t>
      </w:r>
      <w:bookmarkEnd w:id="53"/>
      <w:bookmarkEnd w:id="54"/>
      <w:bookmarkEnd w:id="55"/>
      <w:bookmarkEnd w:id="56"/>
    </w:p>
    <w:tbl>
      <w:tblPr>
        <w:tblStyle w:val="TableGrid2"/>
        <w:tblW w:w="0" w:type="auto"/>
        <w:tblLook w:val="04A0" w:firstRow="1" w:lastRow="0" w:firstColumn="1" w:lastColumn="0" w:noHBand="0" w:noVBand="1"/>
        <w:tblCaption w:val="Table 10 Asphalt Plants"/>
        <w:tblDescription w:val="Table 10 Asphalt Plants"/>
      </w:tblPr>
      <w:tblGrid>
        <w:gridCol w:w="1880"/>
        <w:gridCol w:w="1486"/>
        <w:gridCol w:w="1487"/>
        <w:gridCol w:w="1298"/>
        <w:gridCol w:w="2865"/>
      </w:tblGrid>
      <w:tr w:rsidR="00181CDD" w:rsidRPr="008A667B" w14:paraId="0E25FE11" w14:textId="77777777" w:rsidTr="00807BF0">
        <w:tc>
          <w:tcPr>
            <w:tcW w:w="2078" w:type="dxa"/>
            <w:shd w:val="clear" w:color="auto" w:fill="44546A" w:themeFill="text2"/>
          </w:tcPr>
          <w:p w14:paraId="0C96224A" w14:textId="77777777" w:rsidR="00181CDD" w:rsidRPr="008A667B" w:rsidRDefault="00181CDD" w:rsidP="00D73374">
            <w:pPr>
              <w:spacing w:line="276" w:lineRule="auto"/>
              <w:rPr>
                <w:rFonts w:ascii="Arial" w:hAnsi="Arial" w:cs="Arial"/>
                <w:b/>
                <w:color w:val="FFFFFF" w:themeColor="background1"/>
                <w:lang w:val="en-US"/>
              </w:rPr>
            </w:pPr>
            <w:r w:rsidRPr="008A667B">
              <w:rPr>
                <w:rFonts w:ascii="Arial" w:hAnsi="Arial" w:cs="Arial"/>
                <w:b/>
                <w:color w:val="FFFFFF" w:themeColor="background1"/>
                <w:lang w:val="en-US"/>
              </w:rPr>
              <w:t>Name</w:t>
            </w:r>
          </w:p>
        </w:tc>
        <w:tc>
          <w:tcPr>
            <w:tcW w:w="1574" w:type="dxa"/>
            <w:shd w:val="clear" w:color="auto" w:fill="44546A" w:themeFill="text2"/>
          </w:tcPr>
          <w:p w14:paraId="76AE2A80" w14:textId="77777777" w:rsidR="00181CDD" w:rsidRPr="008A667B" w:rsidRDefault="00181CDD" w:rsidP="00D73374">
            <w:pPr>
              <w:spacing w:line="276" w:lineRule="auto"/>
              <w:rPr>
                <w:rFonts w:ascii="Arial" w:hAnsi="Arial" w:cs="Arial"/>
                <w:b/>
                <w:color w:val="FFFFFF" w:themeColor="background1"/>
                <w:lang w:val="en-US"/>
              </w:rPr>
            </w:pPr>
            <w:r w:rsidRPr="008A667B">
              <w:rPr>
                <w:rFonts w:ascii="Arial" w:hAnsi="Arial" w:cs="Arial"/>
                <w:b/>
                <w:color w:val="FFFFFF" w:themeColor="background1"/>
                <w:lang w:val="en-US"/>
              </w:rPr>
              <w:t>Owner / Operator</w:t>
            </w:r>
          </w:p>
        </w:tc>
        <w:tc>
          <w:tcPr>
            <w:tcW w:w="1559" w:type="dxa"/>
            <w:shd w:val="clear" w:color="auto" w:fill="44546A" w:themeFill="text2"/>
          </w:tcPr>
          <w:p w14:paraId="12A1647E" w14:textId="77777777" w:rsidR="00181CDD" w:rsidRPr="008A667B" w:rsidRDefault="00181CDD" w:rsidP="00D73374">
            <w:pPr>
              <w:spacing w:line="276" w:lineRule="auto"/>
              <w:rPr>
                <w:rFonts w:ascii="Arial" w:hAnsi="Arial" w:cs="Arial"/>
                <w:b/>
                <w:color w:val="FFFFFF" w:themeColor="background1"/>
                <w:lang w:val="en-US"/>
              </w:rPr>
            </w:pPr>
            <w:r w:rsidRPr="008A667B">
              <w:rPr>
                <w:rFonts w:ascii="Arial" w:hAnsi="Arial" w:cs="Arial"/>
                <w:b/>
                <w:color w:val="FFFFFF" w:themeColor="background1"/>
                <w:lang w:val="en-US"/>
              </w:rPr>
              <w:t>Location</w:t>
            </w:r>
          </w:p>
        </w:tc>
        <w:tc>
          <w:tcPr>
            <w:tcW w:w="1418" w:type="dxa"/>
            <w:shd w:val="clear" w:color="auto" w:fill="44546A" w:themeFill="text2"/>
          </w:tcPr>
          <w:p w14:paraId="5498F024" w14:textId="77777777" w:rsidR="00181CDD" w:rsidRPr="008A667B" w:rsidRDefault="00181CDD" w:rsidP="00D73374">
            <w:pPr>
              <w:spacing w:line="276" w:lineRule="auto"/>
              <w:rPr>
                <w:rFonts w:ascii="Arial" w:hAnsi="Arial" w:cs="Arial"/>
                <w:b/>
                <w:color w:val="FFFFFF" w:themeColor="background1"/>
                <w:lang w:val="en-US"/>
              </w:rPr>
            </w:pPr>
            <w:r w:rsidRPr="008A667B">
              <w:rPr>
                <w:rFonts w:ascii="Arial" w:hAnsi="Arial" w:cs="Arial"/>
                <w:b/>
                <w:color w:val="FFFFFF" w:themeColor="background1"/>
                <w:lang w:val="en-US"/>
              </w:rPr>
              <w:t>Status</w:t>
            </w:r>
          </w:p>
        </w:tc>
        <w:tc>
          <w:tcPr>
            <w:tcW w:w="3333" w:type="dxa"/>
            <w:shd w:val="clear" w:color="auto" w:fill="44546A" w:themeFill="text2"/>
          </w:tcPr>
          <w:p w14:paraId="0A418207" w14:textId="77777777" w:rsidR="00181CDD" w:rsidRPr="008A667B" w:rsidRDefault="00181CDD" w:rsidP="00D73374">
            <w:pPr>
              <w:spacing w:line="276" w:lineRule="auto"/>
              <w:rPr>
                <w:rFonts w:ascii="Arial" w:hAnsi="Arial" w:cs="Arial"/>
                <w:b/>
                <w:color w:val="FFFFFF" w:themeColor="background1"/>
                <w:lang w:val="en-US"/>
              </w:rPr>
            </w:pPr>
            <w:r w:rsidRPr="008A667B">
              <w:rPr>
                <w:rFonts w:ascii="Arial" w:hAnsi="Arial" w:cs="Arial"/>
                <w:b/>
                <w:color w:val="FFFFFF" w:themeColor="background1"/>
                <w:lang w:val="en-US"/>
              </w:rPr>
              <w:t>Notes</w:t>
            </w:r>
          </w:p>
        </w:tc>
      </w:tr>
      <w:tr w:rsidR="00181CDD" w:rsidRPr="00807BF0" w14:paraId="3FA60B13" w14:textId="77777777" w:rsidTr="00181CDD">
        <w:tc>
          <w:tcPr>
            <w:tcW w:w="2078" w:type="dxa"/>
          </w:tcPr>
          <w:p w14:paraId="62909C81" w14:textId="77777777" w:rsidR="00181CDD" w:rsidRPr="00807BF0" w:rsidRDefault="00181CDD" w:rsidP="00D73374">
            <w:pPr>
              <w:spacing w:line="276" w:lineRule="auto"/>
              <w:rPr>
                <w:rFonts w:ascii="Arial" w:hAnsi="Arial" w:cs="Arial"/>
                <w:iCs/>
              </w:rPr>
            </w:pPr>
            <w:r w:rsidRPr="00807BF0">
              <w:rPr>
                <w:rFonts w:ascii="Arial" w:hAnsi="Arial" w:cs="Arial"/>
                <w:iCs/>
              </w:rPr>
              <w:t>Express Asphalt</w:t>
            </w:r>
          </w:p>
        </w:tc>
        <w:tc>
          <w:tcPr>
            <w:tcW w:w="1574" w:type="dxa"/>
          </w:tcPr>
          <w:p w14:paraId="60D0E1E5" w14:textId="77777777" w:rsidR="00181CDD" w:rsidRPr="00807BF0" w:rsidRDefault="00181CDD" w:rsidP="00D73374">
            <w:pPr>
              <w:spacing w:line="276" w:lineRule="auto"/>
              <w:rPr>
                <w:rFonts w:ascii="Arial" w:hAnsi="Arial" w:cs="Arial"/>
                <w:iCs/>
              </w:rPr>
            </w:pPr>
            <w:r w:rsidRPr="00807BF0">
              <w:rPr>
                <w:rFonts w:ascii="Arial" w:hAnsi="Arial" w:cs="Arial"/>
                <w:iCs/>
              </w:rPr>
              <w:t>Aggregate Industries</w:t>
            </w:r>
          </w:p>
        </w:tc>
        <w:tc>
          <w:tcPr>
            <w:tcW w:w="1559" w:type="dxa"/>
          </w:tcPr>
          <w:p w14:paraId="4876F0A6" w14:textId="77777777" w:rsidR="00181CDD" w:rsidRPr="00807BF0" w:rsidRDefault="00181CDD" w:rsidP="00D73374">
            <w:pPr>
              <w:spacing w:line="276" w:lineRule="auto"/>
              <w:rPr>
                <w:rFonts w:ascii="Arial" w:hAnsi="Arial" w:cs="Arial"/>
                <w:iCs/>
              </w:rPr>
            </w:pPr>
            <w:r w:rsidRPr="00807BF0">
              <w:rPr>
                <w:rFonts w:ascii="Arial" w:hAnsi="Arial" w:cs="Arial"/>
                <w:iCs/>
              </w:rPr>
              <w:t>Doncaster</w:t>
            </w:r>
          </w:p>
        </w:tc>
        <w:tc>
          <w:tcPr>
            <w:tcW w:w="1418" w:type="dxa"/>
          </w:tcPr>
          <w:p w14:paraId="15FADDB5" w14:textId="77777777" w:rsidR="00181CDD" w:rsidRPr="00807BF0" w:rsidRDefault="00181CDD" w:rsidP="00D73374">
            <w:pPr>
              <w:spacing w:line="276" w:lineRule="auto"/>
              <w:rPr>
                <w:rFonts w:ascii="Arial" w:hAnsi="Arial" w:cs="Arial"/>
                <w:iCs/>
              </w:rPr>
            </w:pPr>
            <w:r w:rsidRPr="00807BF0">
              <w:rPr>
                <w:rFonts w:ascii="Arial" w:hAnsi="Arial" w:cs="Arial"/>
                <w:iCs/>
              </w:rPr>
              <w:t>Active</w:t>
            </w:r>
          </w:p>
        </w:tc>
        <w:tc>
          <w:tcPr>
            <w:tcW w:w="3333" w:type="dxa"/>
          </w:tcPr>
          <w:p w14:paraId="54183495" w14:textId="77777777" w:rsidR="00181CDD" w:rsidRPr="00807BF0" w:rsidRDefault="00181CDD" w:rsidP="00D73374">
            <w:pPr>
              <w:spacing w:line="276" w:lineRule="auto"/>
              <w:rPr>
                <w:rFonts w:ascii="Arial" w:hAnsi="Arial" w:cs="Arial"/>
                <w:iCs/>
              </w:rPr>
            </w:pPr>
            <w:r w:rsidRPr="00807BF0">
              <w:rPr>
                <w:rFonts w:ascii="Arial" w:hAnsi="Arial" w:cs="Arial"/>
                <w:iCs/>
              </w:rPr>
              <w:t xml:space="preserve">Asphalt sand sourced from </w:t>
            </w:r>
            <w:proofErr w:type="spellStart"/>
            <w:r w:rsidRPr="00807BF0">
              <w:rPr>
                <w:rFonts w:ascii="Arial" w:hAnsi="Arial" w:cs="Arial"/>
                <w:iCs/>
              </w:rPr>
              <w:t>Dunsville</w:t>
            </w:r>
            <w:proofErr w:type="spellEnd"/>
            <w:r w:rsidRPr="00807BF0">
              <w:rPr>
                <w:rFonts w:ascii="Arial" w:hAnsi="Arial" w:cs="Arial"/>
                <w:iCs/>
              </w:rPr>
              <w:t xml:space="preserve"> Quarry</w:t>
            </w:r>
          </w:p>
        </w:tc>
      </w:tr>
      <w:tr w:rsidR="00181CDD" w:rsidRPr="00807BF0" w14:paraId="0C073B42" w14:textId="77777777" w:rsidTr="00181CDD">
        <w:tc>
          <w:tcPr>
            <w:tcW w:w="2078" w:type="dxa"/>
          </w:tcPr>
          <w:p w14:paraId="6003B4A9" w14:textId="77777777" w:rsidR="00181CDD" w:rsidRPr="00537936" w:rsidRDefault="00181CDD" w:rsidP="00D73374">
            <w:pPr>
              <w:spacing w:line="276" w:lineRule="auto"/>
              <w:rPr>
                <w:rFonts w:ascii="Arial" w:hAnsi="Arial" w:cs="Arial"/>
                <w:iCs/>
              </w:rPr>
            </w:pPr>
            <w:proofErr w:type="spellStart"/>
            <w:r w:rsidRPr="00537936">
              <w:rPr>
                <w:rFonts w:ascii="Arial" w:hAnsi="Arial" w:cs="Arial"/>
                <w:iCs/>
              </w:rPr>
              <w:t>Steelphalt</w:t>
            </w:r>
            <w:proofErr w:type="spellEnd"/>
          </w:p>
        </w:tc>
        <w:tc>
          <w:tcPr>
            <w:tcW w:w="1574" w:type="dxa"/>
          </w:tcPr>
          <w:p w14:paraId="0936B2A8" w14:textId="77777777" w:rsidR="00181CDD" w:rsidRPr="00537936" w:rsidRDefault="00181CDD" w:rsidP="00D73374">
            <w:pPr>
              <w:spacing w:line="276" w:lineRule="auto"/>
              <w:rPr>
                <w:rFonts w:ascii="Arial" w:hAnsi="Arial" w:cs="Arial"/>
                <w:iCs/>
              </w:rPr>
            </w:pPr>
            <w:r w:rsidRPr="00537936">
              <w:rPr>
                <w:rFonts w:ascii="Arial" w:hAnsi="Arial" w:cs="Arial"/>
                <w:iCs/>
              </w:rPr>
              <w:t xml:space="preserve">Harsco </w:t>
            </w:r>
          </w:p>
        </w:tc>
        <w:tc>
          <w:tcPr>
            <w:tcW w:w="1559" w:type="dxa"/>
          </w:tcPr>
          <w:p w14:paraId="127082CB" w14:textId="77777777" w:rsidR="00181CDD" w:rsidRPr="00537936" w:rsidRDefault="00181CDD" w:rsidP="00D73374">
            <w:pPr>
              <w:spacing w:line="276" w:lineRule="auto"/>
              <w:rPr>
                <w:rFonts w:ascii="Arial" w:hAnsi="Arial" w:cs="Arial"/>
                <w:iCs/>
              </w:rPr>
            </w:pPr>
            <w:r w:rsidRPr="00537936">
              <w:rPr>
                <w:rFonts w:ascii="Arial" w:hAnsi="Arial" w:cs="Arial"/>
                <w:iCs/>
              </w:rPr>
              <w:t>Rotherham</w:t>
            </w:r>
          </w:p>
        </w:tc>
        <w:tc>
          <w:tcPr>
            <w:tcW w:w="1418" w:type="dxa"/>
          </w:tcPr>
          <w:p w14:paraId="01565C39" w14:textId="77777777" w:rsidR="00181CDD" w:rsidRPr="00807BF0" w:rsidRDefault="00181CDD" w:rsidP="00D73374">
            <w:pPr>
              <w:spacing w:line="276" w:lineRule="auto"/>
              <w:rPr>
                <w:rFonts w:ascii="Arial" w:hAnsi="Arial" w:cs="Arial"/>
                <w:iCs/>
              </w:rPr>
            </w:pPr>
            <w:r w:rsidRPr="00537936">
              <w:rPr>
                <w:rFonts w:ascii="Arial" w:hAnsi="Arial" w:cs="Arial"/>
                <w:iCs/>
              </w:rPr>
              <w:t>Active</w:t>
            </w:r>
          </w:p>
        </w:tc>
        <w:tc>
          <w:tcPr>
            <w:tcW w:w="3333" w:type="dxa"/>
          </w:tcPr>
          <w:p w14:paraId="691CAC34" w14:textId="77777777" w:rsidR="00181CDD" w:rsidRPr="00807BF0" w:rsidRDefault="00181CDD" w:rsidP="00D73374">
            <w:pPr>
              <w:spacing w:line="276" w:lineRule="auto"/>
              <w:rPr>
                <w:rFonts w:ascii="Arial" w:hAnsi="Arial" w:cs="Arial"/>
                <w:iCs/>
              </w:rPr>
            </w:pPr>
          </w:p>
        </w:tc>
      </w:tr>
    </w:tbl>
    <w:p w14:paraId="0C79154B" w14:textId="2C7874ED" w:rsidR="00181CDD" w:rsidRPr="008A667B" w:rsidRDefault="00ED6723" w:rsidP="00D73374">
      <w:pPr>
        <w:pStyle w:val="Sub-heading"/>
        <w:spacing w:before="240" w:line="276" w:lineRule="auto"/>
        <w:jc w:val="left"/>
        <w:outlineLvl w:val="1"/>
        <w:rPr>
          <w:b w:val="0"/>
          <w:color w:val="001C3E"/>
          <w:sz w:val="24"/>
          <w:szCs w:val="24"/>
        </w:rPr>
      </w:pPr>
      <w:bookmarkStart w:id="57" w:name="_Toc473105764"/>
      <w:bookmarkStart w:id="58" w:name="_Toc500147136"/>
      <w:bookmarkStart w:id="59" w:name="_Toc522792109"/>
      <w:bookmarkStart w:id="60" w:name="_Toc198549815"/>
      <w:r>
        <w:rPr>
          <w:color w:val="auto"/>
          <w:sz w:val="22"/>
          <w:szCs w:val="22"/>
        </w:rPr>
        <w:t>Table 1</w:t>
      </w:r>
      <w:r w:rsidR="004C6053">
        <w:rPr>
          <w:color w:val="auto"/>
          <w:sz w:val="22"/>
          <w:szCs w:val="22"/>
        </w:rPr>
        <w:t>1</w:t>
      </w:r>
      <w:r>
        <w:rPr>
          <w:color w:val="auto"/>
          <w:sz w:val="22"/>
          <w:szCs w:val="22"/>
        </w:rPr>
        <w:t>.</w:t>
      </w:r>
      <w:r w:rsidR="00181CDD" w:rsidRPr="00807BF0">
        <w:rPr>
          <w:color w:val="auto"/>
          <w:sz w:val="22"/>
          <w:szCs w:val="22"/>
        </w:rPr>
        <w:t xml:space="preserve"> Ancillary Minerals Infrastructure</w:t>
      </w:r>
      <w:bookmarkEnd w:id="57"/>
      <w:bookmarkEnd w:id="58"/>
      <w:bookmarkEnd w:id="59"/>
      <w:bookmarkEnd w:id="60"/>
      <w:r w:rsidR="00181CDD" w:rsidRPr="008A667B">
        <w:rPr>
          <w:b w:val="0"/>
          <w:color w:val="001C3E"/>
          <w:sz w:val="24"/>
          <w:szCs w:val="24"/>
        </w:rPr>
        <w:t xml:space="preserve"> </w:t>
      </w:r>
    </w:p>
    <w:tbl>
      <w:tblPr>
        <w:tblStyle w:val="TableGrid2"/>
        <w:tblW w:w="5000" w:type="pct"/>
        <w:tblLook w:val="04A0" w:firstRow="1" w:lastRow="0" w:firstColumn="1" w:lastColumn="0" w:noHBand="0" w:noVBand="1"/>
        <w:tblCaption w:val="Table 11. Ancillary Minerals Infrastructure "/>
        <w:tblDescription w:val="Table 11. Ancillary Minerals Infrastructure "/>
      </w:tblPr>
      <w:tblGrid>
        <w:gridCol w:w="2651"/>
        <w:gridCol w:w="2196"/>
        <w:gridCol w:w="4169"/>
      </w:tblGrid>
      <w:tr w:rsidR="00181CDD" w:rsidRPr="008A667B" w14:paraId="09A1D277" w14:textId="77777777" w:rsidTr="00C85A78">
        <w:trPr>
          <w:tblHeader/>
        </w:trPr>
        <w:tc>
          <w:tcPr>
            <w:tcW w:w="1470" w:type="pct"/>
            <w:shd w:val="clear" w:color="auto" w:fill="44546A" w:themeFill="text2"/>
          </w:tcPr>
          <w:p w14:paraId="1C328835" w14:textId="77777777" w:rsidR="00181CDD" w:rsidRPr="008A667B" w:rsidRDefault="00181CDD" w:rsidP="00D73374">
            <w:pPr>
              <w:spacing w:line="276" w:lineRule="auto"/>
              <w:rPr>
                <w:rFonts w:ascii="Arial" w:hAnsi="Arial" w:cs="Arial"/>
                <w:b/>
                <w:color w:val="FFFFFF" w:themeColor="background1"/>
                <w:lang w:val="en-US"/>
              </w:rPr>
            </w:pPr>
            <w:r w:rsidRPr="008A667B">
              <w:rPr>
                <w:rFonts w:ascii="Arial" w:hAnsi="Arial" w:cs="Arial"/>
                <w:b/>
                <w:color w:val="FFFFFF" w:themeColor="background1"/>
                <w:lang w:val="en-US"/>
              </w:rPr>
              <w:t>Company</w:t>
            </w:r>
          </w:p>
        </w:tc>
        <w:tc>
          <w:tcPr>
            <w:tcW w:w="1218" w:type="pct"/>
            <w:shd w:val="clear" w:color="auto" w:fill="44546A" w:themeFill="text2"/>
          </w:tcPr>
          <w:p w14:paraId="59A0284D" w14:textId="77777777" w:rsidR="00181CDD" w:rsidRPr="008A667B" w:rsidRDefault="00181CDD" w:rsidP="00D73374">
            <w:pPr>
              <w:spacing w:line="276" w:lineRule="auto"/>
              <w:rPr>
                <w:rFonts w:ascii="Arial" w:hAnsi="Arial" w:cs="Arial"/>
                <w:b/>
                <w:color w:val="FFFFFF" w:themeColor="background1"/>
                <w:lang w:val="en-US"/>
              </w:rPr>
            </w:pPr>
            <w:r w:rsidRPr="008A667B">
              <w:rPr>
                <w:rFonts w:ascii="Arial" w:hAnsi="Arial" w:cs="Arial"/>
                <w:b/>
                <w:color w:val="FFFFFF" w:themeColor="background1"/>
                <w:lang w:val="en-US"/>
              </w:rPr>
              <w:t>Location</w:t>
            </w:r>
          </w:p>
        </w:tc>
        <w:tc>
          <w:tcPr>
            <w:tcW w:w="2312" w:type="pct"/>
            <w:shd w:val="clear" w:color="auto" w:fill="44546A" w:themeFill="text2"/>
          </w:tcPr>
          <w:p w14:paraId="70370403" w14:textId="77777777" w:rsidR="00181CDD" w:rsidRPr="008A667B" w:rsidRDefault="00181CDD" w:rsidP="00D73374">
            <w:pPr>
              <w:spacing w:line="276" w:lineRule="auto"/>
              <w:rPr>
                <w:rFonts w:ascii="Arial" w:hAnsi="Arial" w:cs="Arial"/>
                <w:b/>
                <w:color w:val="FFFFFF" w:themeColor="background1"/>
                <w:lang w:val="en-US"/>
              </w:rPr>
            </w:pPr>
            <w:r w:rsidRPr="008A667B">
              <w:rPr>
                <w:rFonts w:ascii="Arial" w:hAnsi="Arial" w:cs="Arial"/>
                <w:b/>
                <w:color w:val="FFFFFF" w:themeColor="background1"/>
                <w:lang w:val="en-US"/>
              </w:rPr>
              <w:t>Type Of Infrastructure</w:t>
            </w:r>
          </w:p>
        </w:tc>
      </w:tr>
      <w:tr w:rsidR="00181CDD" w:rsidRPr="008A667B" w14:paraId="230A0BA7" w14:textId="77777777" w:rsidTr="00181CDD">
        <w:tc>
          <w:tcPr>
            <w:tcW w:w="1470" w:type="pct"/>
          </w:tcPr>
          <w:p w14:paraId="2013DDF3" w14:textId="77777777" w:rsidR="00181CDD" w:rsidRPr="00807BF0" w:rsidRDefault="00181CDD" w:rsidP="00D73374">
            <w:pPr>
              <w:spacing w:line="276" w:lineRule="auto"/>
              <w:rPr>
                <w:rFonts w:ascii="Arial" w:hAnsi="Arial" w:cs="Arial"/>
              </w:rPr>
            </w:pPr>
            <w:r w:rsidRPr="00807BF0">
              <w:rPr>
                <w:rFonts w:ascii="Arial" w:hAnsi="Arial" w:cs="Arial"/>
              </w:rPr>
              <w:t xml:space="preserve">Hanson UK  </w:t>
            </w:r>
          </w:p>
        </w:tc>
        <w:tc>
          <w:tcPr>
            <w:tcW w:w="1218" w:type="pct"/>
          </w:tcPr>
          <w:p w14:paraId="35366807" w14:textId="77777777" w:rsidR="00181CDD" w:rsidRPr="00807BF0" w:rsidRDefault="00181CDD" w:rsidP="00D73374">
            <w:pPr>
              <w:spacing w:line="276" w:lineRule="auto"/>
              <w:rPr>
                <w:rFonts w:ascii="Arial" w:hAnsi="Arial" w:cs="Arial"/>
              </w:rPr>
            </w:pPr>
            <w:proofErr w:type="spellStart"/>
            <w:r w:rsidRPr="00807BF0">
              <w:rPr>
                <w:rFonts w:ascii="Arial" w:hAnsi="Arial" w:cs="Arial"/>
              </w:rPr>
              <w:t>Auckley</w:t>
            </w:r>
            <w:proofErr w:type="spellEnd"/>
            <w:r w:rsidRPr="00807BF0">
              <w:rPr>
                <w:rFonts w:ascii="Arial" w:hAnsi="Arial" w:cs="Arial"/>
              </w:rPr>
              <w:t xml:space="preserve"> </w:t>
            </w:r>
          </w:p>
          <w:p w14:paraId="0341A997" w14:textId="77777777" w:rsidR="00181CDD" w:rsidRPr="00807BF0" w:rsidRDefault="00181CDD" w:rsidP="00D73374">
            <w:pPr>
              <w:spacing w:line="276" w:lineRule="auto"/>
              <w:rPr>
                <w:rFonts w:ascii="Arial" w:hAnsi="Arial" w:cs="Arial"/>
              </w:rPr>
            </w:pPr>
          </w:p>
          <w:p w14:paraId="0913BF8E" w14:textId="77777777" w:rsidR="00181CDD" w:rsidRPr="00807BF0" w:rsidRDefault="00181CDD" w:rsidP="00D73374">
            <w:pPr>
              <w:spacing w:line="276" w:lineRule="auto"/>
              <w:rPr>
                <w:rFonts w:ascii="Arial" w:hAnsi="Arial" w:cs="Arial"/>
              </w:rPr>
            </w:pPr>
          </w:p>
          <w:p w14:paraId="55A858D1" w14:textId="77777777" w:rsidR="00181CDD" w:rsidRPr="00807BF0" w:rsidRDefault="00181CDD" w:rsidP="00D73374">
            <w:pPr>
              <w:spacing w:line="276" w:lineRule="auto"/>
              <w:rPr>
                <w:rFonts w:ascii="Arial" w:hAnsi="Arial" w:cs="Arial"/>
              </w:rPr>
            </w:pPr>
            <w:r w:rsidRPr="00807BF0">
              <w:rPr>
                <w:rFonts w:ascii="Arial" w:hAnsi="Arial" w:cs="Arial"/>
              </w:rPr>
              <w:t>Rossington</w:t>
            </w:r>
          </w:p>
        </w:tc>
        <w:tc>
          <w:tcPr>
            <w:tcW w:w="2312" w:type="pct"/>
          </w:tcPr>
          <w:p w14:paraId="36643D88" w14:textId="77777777" w:rsidR="00181CDD" w:rsidRPr="00807BF0" w:rsidRDefault="00181CDD" w:rsidP="00D73374">
            <w:pPr>
              <w:spacing w:line="276" w:lineRule="auto"/>
              <w:rPr>
                <w:rFonts w:ascii="Arial" w:hAnsi="Arial" w:cs="Arial"/>
              </w:rPr>
            </w:pPr>
            <w:r w:rsidRPr="00807BF0">
              <w:rPr>
                <w:rFonts w:ascii="Arial" w:hAnsi="Arial" w:cs="Arial"/>
              </w:rPr>
              <w:lastRenderedPageBreak/>
              <w:t>Concrete Production</w:t>
            </w:r>
          </w:p>
          <w:p w14:paraId="3E995F60" w14:textId="77777777" w:rsidR="00181CDD" w:rsidRPr="00807BF0" w:rsidRDefault="00181CDD" w:rsidP="00D73374">
            <w:pPr>
              <w:spacing w:line="276" w:lineRule="auto"/>
              <w:rPr>
                <w:rFonts w:ascii="Arial" w:hAnsi="Arial" w:cs="Arial"/>
              </w:rPr>
            </w:pPr>
            <w:r w:rsidRPr="00807BF0">
              <w:rPr>
                <w:rFonts w:ascii="Arial" w:hAnsi="Arial" w:cs="Arial"/>
              </w:rPr>
              <w:lastRenderedPageBreak/>
              <w:t>Handling &amp; Processing</w:t>
            </w:r>
          </w:p>
          <w:p w14:paraId="1CECBEF8" w14:textId="77777777" w:rsidR="00181CDD" w:rsidRPr="00807BF0" w:rsidRDefault="00181CDD" w:rsidP="00D73374">
            <w:pPr>
              <w:spacing w:line="276" w:lineRule="auto"/>
              <w:rPr>
                <w:rFonts w:ascii="Arial" w:hAnsi="Arial" w:cs="Arial"/>
              </w:rPr>
            </w:pPr>
          </w:p>
          <w:p w14:paraId="4166E272" w14:textId="77777777" w:rsidR="00181CDD" w:rsidRPr="00807BF0" w:rsidRDefault="00181CDD" w:rsidP="00D73374">
            <w:pPr>
              <w:spacing w:line="276" w:lineRule="auto"/>
              <w:rPr>
                <w:rFonts w:ascii="Arial" w:hAnsi="Arial" w:cs="Arial"/>
              </w:rPr>
            </w:pPr>
            <w:r w:rsidRPr="00807BF0">
              <w:rPr>
                <w:rFonts w:ascii="Arial" w:hAnsi="Arial" w:cs="Arial"/>
              </w:rPr>
              <w:t>Concrete Production</w:t>
            </w:r>
          </w:p>
        </w:tc>
      </w:tr>
      <w:tr w:rsidR="00181CDD" w:rsidRPr="008A667B" w14:paraId="79F9EF92" w14:textId="77777777" w:rsidTr="00181CDD">
        <w:tc>
          <w:tcPr>
            <w:tcW w:w="1470" w:type="pct"/>
          </w:tcPr>
          <w:p w14:paraId="536DD025" w14:textId="77777777" w:rsidR="00181CDD" w:rsidRPr="00807BF0" w:rsidRDefault="00181CDD" w:rsidP="00D73374">
            <w:pPr>
              <w:spacing w:line="276" w:lineRule="auto"/>
              <w:rPr>
                <w:rFonts w:ascii="Arial" w:hAnsi="Arial" w:cs="Arial"/>
              </w:rPr>
            </w:pPr>
            <w:proofErr w:type="gramStart"/>
            <w:r w:rsidRPr="00807BF0">
              <w:rPr>
                <w:rFonts w:ascii="Arial" w:hAnsi="Arial" w:cs="Arial"/>
              </w:rPr>
              <w:lastRenderedPageBreak/>
              <w:t>Marshalls</w:t>
            </w:r>
            <w:proofErr w:type="gramEnd"/>
            <w:r w:rsidRPr="00807BF0">
              <w:rPr>
                <w:rFonts w:ascii="Arial" w:hAnsi="Arial" w:cs="Arial"/>
              </w:rPr>
              <w:t xml:space="preserve"> plc</w:t>
            </w:r>
          </w:p>
        </w:tc>
        <w:tc>
          <w:tcPr>
            <w:tcW w:w="1218" w:type="pct"/>
          </w:tcPr>
          <w:p w14:paraId="36D70A69" w14:textId="77777777" w:rsidR="00181CDD" w:rsidRPr="00807BF0" w:rsidRDefault="00181CDD" w:rsidP="00D73374">
            <w:pPr>
              <w:spacing w:line="276" w:lineRule="auto"/>
              <w:rPr>
                <w:rFonts w:ascii="Arial" w:hAnsi="Arial" w:cs="Arial"/>
              </w:rPr>
            </w:pPr>
            <w:r w:rsidRPr="00807BF0">
              <w:rPr>
                <w:rFonts w:ascii="Arial" w:hAnsi="Arial" w:cs="Arial"/>
              </w:rPr>
              <w:t>Stainton</w:t>
            </w:r>
          </w:p>
        </w:tc>
        <w:tc>
          <w:tcPr>
            <w:tcW w:w="2312" w:type="pct"/>
          </w:tcPr>
          <w:p w14:paraId="72B7385B" w14:textId="77777777" w:rsidR="00181CDD" w:rsidRPr="00807BF0" w:rsidRDefault="00181CDD" w:rsidP="00D73374">
            <w:pPr>
              <w:spacing w:line="276" w:lineRule="auto"/>
              <w:rPr>
                <w:rFonts w:ascii="Arial" w:hAnsi="Arial" w:cs="Arial"/>
              </w:rPr>
            </w:pPr>
            <w:r w:rsidRPr="00807BF0">
              <w:rPr>
                <w:rFonts w:ascii="Arial" w:hAnsi="Arial" w:cs="Arial"/>
              </w:rPr>
              <w:t>Concrete Products, Batching &amp; Processing</w:t>
            </w:r>
          </w:p>
        </w:tc>
      </w:tr>
      <w:tr w:rsidR="00181CDD" w:rsidRPr="008A667B" w14:paraId="7E2CFFC5" w14:textId="77777777" w:rsidTr="00181CDD">
        <w:tc>
          <w:tcPr>
            <w:tcW w:w="1470" w:type="pct"/>
          </w:tcPr>
          <w:p w14:paraId="04689F44" w14:textId="77777777" w:rsidR="00181CDD" w:rsidRPr="00807BF0" w:rsidRDefault="00181CDD" w:rsidP="00D73374">
            <w:pPr>
              <w:spacing w:line="276" w:lineRule="auto"/>
              <w:rPr>
                <w:rFonts w:ascii="Arial" w:hAnsi="Arial" w:cs="Arial"/>
              </w:rPr>
            </w:pPr>
            <w:r w:rsidRPr="00807BF0">
              <w:rPr>
                <w:rFonts w:ascii="Arial" w:hAnsi="Arial" w:cs="Arial"/>
                <w:iCs/>
              </w:rPr>
              <w:t>Tarmac</w:t>
            </w:r>
          </w:p>
        </w:tc>
        <w:tc>
          <w:tcPr>
            <w:tcW w:w="1218" w:type="pct"/>
          </w:tcPr>
          <w:p w14:paraId="3CB2A47B" w14:textId="77777777" w:rsidR="00181CDD" w:rsidRPr="00807BF0" w:rsidRDefault="00181CDD" w:rsidP="00D73374">
            <w:pPr>
              <w:spacing w:line="276" w:lineRule="auto"/>
              <w:rPr>
                <w:rFonts w:ascii="Arial" w:hAnsi="Arial" w:cs="Arial"/>
                <w:iCs/>
              </w:rPr>
            </w:pPr>
            <w:r w:rsidRPr="00807BF0">
              <w:rPr>
                <w:rFonts w:ascii="Arial" w:hAnsi="Arial" w:cs="Arial"/>
                <w:iCs/>
              </w:rPr>
              <w:t>Kirk Sandall</w:t>
            </w:r>
          </w:p>
          <w:p w14:paraId="2C5CE60A" w14:textId="77777777" w:rsidR="00181CDD" w:rsidRPr="00807BF0" w:rsidRDefault="00181CDD" w:rsidP="00D73374">
            <w:pPr>
              <w:spacing w:line="276" w:lineRule="auto"/>
              <w:rPr>
                <w:rFonts w:ascii="Arial" w:hAnsi="Arial" w:cs="Arial"/>
                <w:iCs/>
              </w:rPr>
            </w:pPr>
          </w:p>
          <w:p w14:paraId="02F1E1EE" w14:textId="77777777" w:rsidR="00181CDD" w:rsidRPr="00807BF0" w:rsidRDefault="00181CDD" w:rsidP="00D73374">
            <w:pPr>
              <w:spacing w:line="276" w:lineRule="auto"/>
              <w:rPr>
                <w:rFonts w:ascii="Arial" w:hAnsi="Arial" w:cs="Arial"/>
                <w:iCs/>
              </w:rPr>
            </w:pPr>
            <w:proofErr w:type="spellStart"/>
            <w:r w:rsidRPr="00807BF0">
              <w:rPr>
                <w:rFonts w:ascii="Arial" w:hAnsi="Arial" w:cs="Arial"/>
                <w:iCs/>
              </w:rPr>
              <w:t>Wath</w:t>
            </w:r>
            <w:proofErr w:type="spellEnd"/>
            <w:r w:rsidRPr="00807BF0">
              <w:rPr>
                <w:rFonts w:ascii="Arial" w:hAnsi="Arial" w:cs="Arial"/>
                <w:iCs/>
              </w:rPr>
              <w:t>-upon-Dearne</w:t>
            </w:r>
          </w:p>
          <w:p w14:paraId="14752834" w14:textId="77777777" w:rsidR="00181CDD" w:rsidRPr="00807BF0" w:rsidRDefault="00181CDD" w:rsidP="00D73374">
            <w:pPr>
              <w:spacing w:line="276" w:lineRule="auto"/>
              <w:rPr>
                <w:rFonts w:ascii="Arial" w:hAnsi="Arial" w:cs="Arial"/>
                <w:iCs/>
              </w:rPr>
            </w:pPr>
            <w:r w:rsidRPr="00807BF0">
              <w:rPr>
                <w:rFonts w:ascii="Arial" w:hAnsi="Arial" w:cs="Arial"/>
                <w:iCs/>
              </w:rPr>
              <w:t>Aston</w:t>
            </w:r>
          </w:p>
        </w:tc>
        <w:tc>
          <w:tcPr>
            <w:tcW w:w="2312" w:type="pct"/>
          </w:tcPr>
          <w:p w14:paraId="6D9403F8" w14:textId="77777777" w:rsidR="00181CDD" w:rsidRPr="00807BF0" w:rsidRDefault="00181CDD" w:rsidP="00D73374">
            <w:pPr>
              <w:spacing w:line="276" w:lineRule="auto"/>
              <w:rPr>
                <w:rFonts w:ascii="Arial" w:hAnsi="Arial" w:cs="Arial"/>
              </w:rPr>
            </w:pPr>
            <w:r w:rsidRPr="00807BF0">
              <w:rPr>
                <w:rFonts w:ascii="Arial" w:hAnsi="Arial" w:cs="Arial"/>
              </w:rPr>
              <w:t>Concrete Batching</w:t>
            </w:r>
          </w:p>
          <w:p w14:paraId="626930F6" w14:textId="77777777" w:rsidR="00181CDD" w:rsidRPr="00807BF0" w:rsidRDefault="00181CDD" w:rsidP="00D73374">
            <w:pPr>
              <w:spacing w:line="276" w:lineRule="auto"/>
              <w:rPr>
                <w:rFonts w:ascii="Arial" w:hAnsi="Arial" w:cs="Arial"/>
              </w:rPr>
            </w:pPr>
          </w:p>
          <w:p w14:paraId="78882E8C" w14:textId="77777777" w:rsidR="00181CDD" w:rsidRPr="00807BF0" w:rsidRDefault="00181CDD" w:rsidP="00D73374">
            <w:pPr>
              <w:spacing w:line="276" w:lineRule="auto"/>
              <w:rPr>
                <w:rFonts w:ascii="Arial" w:hAnsi="Arial" w:cs="Arial"/>
              </w:rPr>
            </w:pPr>
            <w:r w:rsidRPr="00807BF0">
              <w:rPr>
                <w:rFonts w:ascii="Arial" w:hAnsi="Arial" w:cs="Arial"/>
              </w:rPr>
              <w:t>Cement works (Ready Mix)</w:t>
            </w:r>
          </w:p>
          <w:p w14:paraId="1B6EA141" w14:textId="77777777" w:rsidR="00181CDD" w:rsidRPr="00807BF0" w:rsidRDefault="00181CDD" w:rsidP="00D73374">
            <w:pPr>
              <w:spacing w:line="276" w:lineRule="auto"/>
              <w:rPr>
                <w:rFonts w:ascii="Arial" w:hAnsi="Arial" w:cs="Arial"/>
                <w:iCs/>
              </w:rPr>
            </w:pPr>
          </w:p>
        </w:tc>
      </w:tr>
      <w:tr w:rsidR="005D5916" w:rsidRPr="008A667B" w14:paraId="26014F57" w14:textId="77777777" w:rsidTr="00181CDD">
        <w:tc>
          <w:tcPr>
            <w:tcW w:w="1470" w:type="pct"/>
          </w:tcPr>
          <w:p w14:paraId="1F5D1B82" w14:textId="396E0412" w:rsidR="005D5916" w:rsidRPr="00ED6723" w:rsidRDefault="005D5916" w:rsidP="00D73374">
            <w:pPr>
              <w:spacing w:line="276" w:lineRule="auto"/>
              <w:rPr>
                <w:rFonts w:ascii="Arial" w:hAnsi="Arial" w:cs="Arial"/>
                <w:iCs/>
              </w:rPr>
            </w:pPr>
            <w:r w:rsidRPr="00ED6723">
              <w:rPr>
                <w:rFonts w:ascii="Arial" w:hAnsi="Arial" w:cs="Arial"/>
                <w:iCs/>
              </w:rPr>
              <w:t>Aggregates-R-us (former Tarmac site</w:t>
            </w:r>
            <w:r w:rsidR="0024092D">
              <w:rPr>
                <w:rFonts w:ascii="Arial" w:hAnsi="Arial" w:cs="Arial"/>
                <w:iCs/>
              </w:rPr>
              <w:t>)</w:t>
            </w:r>
            <w:r w:rsidRPr="00ED6723">
              <w:rPr>
                <w:rFonts w:ascii="Arial" w:hAnsi="Arial" w:cs="Arial"/>
                <w:iCs/>
              </w:rPr>
              <w:t xml:space="preserve"> </w:t>
            </w:r>
          </w:p>
        </w:tc>
        <w:tc>
          <w:tcPr>
            <w:tcW w:w="1218" w:type="pct"/>
          </w:tcPr>
          <w:p w14:paraId="51F51647" w14:textId="77777777" w:rsidR="005D5916" w:rsidRPr="00ED6723" w:rsidRDefault="005D5916" w:rsidP="00D73374">
            <w:pPr>
              <w:spacing w:line="276" w:lineRule="auto"/>
              <w:rPr>
                <w:rFonts w:ascii="Arial" w:hAnsi="Arial" w:cs="Arial"/>
                <w:iCs/>
              </w:rPr>
            </w:pPr>
            <w:r w:rsidRPr="00ED6723">
              <w:rPr>
                <w:rFonts w:ascii="Arial" w:hAnsi="Arial" w:cs="Arial"/>
                <w:iCs/>
              </w:rPr>
              <w:t>Finningley</w:t>
            </w:r>
          </w:p>
        </w:tc>
        <w:tc>
          <w:tcPr>
            <w:tcW w:w="2312" w:type="pct"/>
          </w:tcPr>
          <w:p w14:paraId="426489A5" w14:textId="77777777" w:rsidR="005D5916" w:rsidRPr="00ED6723" w:rsidRDefault="005D5916" w:rsidP="00D73374">
            <w:pPr>
              <w:spacing w:line="276" w:lineRule="auto"/>
              <w:rPr>
                <w:rFonts w:ascii="Arial" w:hAnsi="Arial" w:cs="Arial"/>
              </w:rPr>
            </w:pPr>
            <w:r w:rsidRPr="00ED6723">
              <w:rPr>
                <w:rFonts w:ascii="Arial" w:hAnsi="Arial" w:cs="Arial"/>
              </w:rPr>
              <w:t>Handling &amp; Processing</w:t>
            </w:r>
          </w:p>
        </w:tc>
      </w:tr>
      <w:tr w:rsidR="00181CDD" w:rsidRPr="008A667B" w14:paraId="2BFC417D" w14:textId="77777777" w:rsidTr="00181CDD">
        <w:tc>
          <w:tcPr>
            <w:tcW w:w="1470" w:type="pct"/>
          </w:tcPr>
          <w:p w14:paraId="1B4D92A0" w14:textId="77777777" w:rsidR="00181CDD" w:rsidRPr="00807BF0" w:rsidRDefault="00181CDD" w:rsidP="00D73374">
            <w:pPr>
              <w:spacing w:line="276" w:lineRule="auto"/>
              <w:rPr>
                <w:rFonts w:ascii="Arial" w:hAnsi="Arial" w:cs="Arial"/>
                <w:iCs/>
              </w:rPr>
            </w:pPr>
            <w:r w:rsidRPr="00807BF0">
              <w:rPr>
                <w:rFonts w:ascii="Arial" w:hAnsi="Arial" w:cs="Arial"/>
                <w:iCs/>
              </w:rPr>
              <w:t>Aggregate Industries</w:t>
            </w:r>
          </w:p>
        </w:tc>
        <w:tc>
          <w:tcPr>
            <w:tcW w:w="1218" w:type="pct"/>
          </w:tcPr>
          <w:p w14:paraId="09FECBAF" w14:textId="77777777" w:rsidR="00181CDD" w:rsidRPr="00807BF0" w:rsidRDefault="00181CDD" w:rsidP="00D73374">
            <w:pPr>
              <w:spacing w:line="276" w:lineRule="auto"/>
              <w:rPr>
                <w:rFonts w:ascii="Arial" w:hAnsi="Arial" w:cs="Arial"/>
                <w:iCs/>
              </w:rPr>
            </w:pPr>
            <w:r w:rsidRPr="00807BF0">
              <w:rPr>
                <w:rFonts w:ascii="Arial" w:hAnsi="Arial" w:cs="Arial"/>
                <w:iCs/>
              </w:rPr>
              <w:t>Kirk Sandall</w:t>
            </w:r>
          </w:p>
        </w:tc>
        <w:tc>
          <w:tcPr>
            <w:tcW w:w="2312" w:type="pct"/>
          </w:tcPr>
          <w:p w14:paraId="0ED8BDF6" w14:textId="77777777" w:rsidR="00181CDD" w:rsidRPr="00807BF0" w:rsidRDefault="00181CDD" w:rsidP="00D73374">
            <w:pPr>
              <w:spacing w:line="276" w:lineRule="auto"/>
              <w:rPr>
                <w:rFonts w:ascii="Arial" w:hAnsi="Arial" w:cs="Arial"/>
                <w:iCs/>
              </w:rPr>
            </w:pPr>
            <w:r w:rsidRPr="00807BF0">
              <w:rPr>
                <w:rFonts w:ascii="Arial" w:hAnsi="Arial" w:cs="Arial"/>
              </w:rPr>
              <w:t>Handling &amp; Processing</w:t>
            </w:r>
          </w:p>
        </w:tc>
      </w:tr>
      <w:tr w:rsidR="00181CDD" w:rsidRPr="008A667B" w14:paraId="0F9B3FAF" w14:textId="77777777" w:rsidTr="00181CDD">
        <w:tc>
          <w:tcPr>
            <w:tcW w:w="1470" w:type="pct"/>
          </w:tcPr>
          <w:p w14:paraId="076917F4" w14:textId="77777777" w:rsidR="00181CDD" w:rsidRPr="00807BF0" w:rsidRDefault="00181CDD" w:rsidP="00D73374">
            <w:pPr>
              <w:spacing w:line="276" w:lineRule="auto"/>
              <w:rPr>
                <w:rFonts w:ascii="Arial" w:hAnsi="Arial" w:cs="Arial"/>
              </w:rPr>
            </w:pPr>
            <w:r w:rsidRPr="00807BF0">
              <w:rPr>
                <w:rFonts w:ascii="Arial" w:hAnsi="Arial" w:cs="Arial"/>
              </w:rPr>
              <w:t>Network Rail</w:t>
            </w:r>
          </w:p>
        </w:tc>
        <w:tc>
          <w:tcPr>
            <w:tcW w:w="1218" w:type="pct"/>
          </w:tcPr>
          <w:p w14:paraId="65C8A050" w14:textId="77777777" w:rsidR="00181CDD" w:rsidRPr="00807BF0" w:rsidRDefault="00181CDD" w:rsidP="00D73374">
            <w:pPr>
              <w:spacing w:line="276" w:lineRule="auto"/>
              <w:rPr>
                <w:rFonts w:ascii="Arial" w:hAnsi="Arial" w:cs="Arial"/>
              </w:rPr>
            </w:pPr>
            <w:r w:rsidRPr="00807BF0">
              <w:rPr>
                <w:rFonts w:ascii="Arial" w:hAnsi="Arial" w:cs="Arial"/>
              </w:rPr>
              <w:t>Ten Pound Walk</w:t>
            </w:r>
          </w:p>
        </w:tc>
        <w:tc>
          <w:tcPr>
            <w:tcW w:w="2312" w:type="pct"/>
          </w:tcPr>
          <w:p w14:paraId="5CBB1180" w14:textId="77777777" w:rsidR="00181CDD" w:rsidRPr="00807BF0" w:rsidRDefault="00181CDD" w:rsidP="00D73374">
            <w:pPr>
              <w:spacing w:line="276" w:lineRule="auto"/>
              <w:rPr>
                <w:rFonts w:ascii="Arial" w:hAnsi="Arial" w:cs="Arial"/>
              </w:rPr>
            </w:pPr>
            <w:r w:rsidRPr="00807BF0">
              <w:rPr>
                <w:rFonts w:ascii="Arial" w:hAnsi="Arial" w:cs="Arial"/>
              </w:rPr>
              <w:t>Rail aggregate recycling handling and transport</w:t>
            </w:r>
          </w:p>
        </w:tc>
      </w:tr>
      <w:tr w:rsidR="00181CDD" w:rsidRPr="008A667B" w14:paraId="6194F4A5" w14:textId="77777777" w:rsidTr="00181CDD">
        <w:tc>
          <w:tcPr>
            <w:tcW w:w="1470" w:type="pct"/>
          </w:tcPr>
          <w:p w14:paraId="51E6CA6E" w14:textId="77777777" w:rsidR="00181CDD" w:rsidRPr="00807BF0" w:rsidRDefault="00181CDD" w:rsidP="00D73374">
            <w:pPr>
              <w:spacing w:line="276" w:lineRule="auto"/>
              <w:rPr>
                <w:rFonts w:ascii="Arial" w:hAnsi="Arial" w:cs="Arial"/>
                <w:iCs/>
              </w:rPr>
            </w:pPr>
            <w:r w:rsidRPr="00807BF0">
              <w:rPr>
                <w:rFonts w:ascii="Arial" w:hAnsi="Arial" w:cs="Arial"/>
                <w:iCs/>
              </w:rPr>
              <w:t>Doncaster Council</w:t>
            </w:r>
          </w:p>
        </w:tc>
        <w:tc>
          <w:tcPr>
            <w:tcW w:w="1218" w:type="pct"/>
          </w:tcPr>
          <w:p w14:paraId="1DF0BE19" w14:textId="77777777" w:rsidR="00181CDD" w:rsidRPr="00807BF0" w:rsidRDefault="00181CDD" w:rsidP="00D73374">
            <w:pPr>
              <w:spacing w:line="276" w:lineRule="auto"/>
              <w:rPr>
                <w:rFonts w:ascii="Arial" w:hAnsi="Arial" w:cs="Arial"/>
                <w:iCs/>
              </w:rPr>
            </w:pPr>
            <w:proofErr w:type="spellStart"/>
            <w:r w:rsidRPr="00807BF0">
              <w:rPr>
                <w:rFonts w:ascii="Arial" w:hAnsi="Arial" w:cs="Arial"/>
                <w:iCs/>
              </w:rPr>
              <w:t>Carcroft</w:t>
            </w:r>
            <w:proofErr w:type="spellEnd"/>
          </w:p>
        </w:tc>
        <w:tc>
          <w:tcPr>
            <w:tcW w:w="2312" w:type="pct"/>
          </w:tcPr>
          <w:p w14:paraId="37B97A48" w14:textId="77777777" w:rsidR="00181CDD" w:rsidRPr="00807BF0" w:rsidRDefault="00181CDD" w:rsidP="00D73374">
            <w:pPr>
              <w:spacing w:line="276" w:lineRule="auto"/>
              <w:rPr>
                <w:rFonts w:ascii="Arial" w:hAnsi="Arial" w:cs="Arial"/>
                <w:lang w:val="en-US"/>
              </w:rPr>
            </w:pPr>
            <w:r w:rsidRPr="00807BF0">
              <w:rPr>
                <w:rFonts w:ascii="Arial" w:hAnsi="Arial" w:cs="Arial"/>
              </w:rPr>
              <w:t>CDW / aggregate recycling handling and transport</w:t>
            </w:r>
          </w:p>
        </w:tc>
      </w:tr>
      <w:tr w:rsidR="00181CDD" w:rsidRPr="00537936" w14:paraId="69FB983D" w14:textId="77777777" w:rsidTr="00181CDD">
        <w:tc>
          <w:tcPr>
            <w:tcW w:w="1470" w:type="pct"/>
          </w:tcPr>
          <w:p w14:paraId="2A7A4BA3" w14:textId="77777777" w:rsidR="00181CDD" w:rsidRPr="00537936" w:rsidRDefault="003025DF" w:rsidP="00D73374">
            <w:pPr>
              <w:spacing w:line="276" w:lineRule="auto"/>
              <w:rPr>
                <w:rFonts w:ascii="Arial" w:hAnsi="Arial" w:cs="Arial"/>
                <w:iCs/>
              </w:rPr>
            </w:pPr>
            <w:r w:rsidRPr="00537936">
              <w:rPr>
                <w:rFonts w:ascii="Arial" w:hAnsi="Arial" w:cs="Arial"/>
                <w:iCs/>
              </w:rPr>
              <w:t xml:space="preserve">Hope Construction </w:t>
            </w:r>
          </w:p>
        </w:tc>
        <w:tc>
          <w:tcPr>
            <w:tcW w:w="1218" w:type="pct"/>
          </w:tcPr>
          <w:p w14:paraId="30B4830F" w14:textId="77777777" w:rsidR="00181CDD" w:rsidRPr="00537936" w:rsidRDefault="00181CDD" w:rsidP="00D73374">
            <w:pPr>
              <w:spacing w:line="276" w:lineRule="auto"/>
              <w:rPr>
                <w:rFonts w:ascii="Arial" w:hAnsi="Arial" w:cs="Arial"/>
                <w:iCs/>
              </w:rPr>
            </w:pPr>
            <w:proofErr w:type="spellStart"/>
            <w:r w:rsidRPr="00537936">
              <w:rPr>
                <w:rFonts w:ascii="Arial" w:hAnsi="Arial" w:cs="Arial"/>
                <w:iCs/>
              </w:rPr>
              <w:t>Canklow</w:t>
            </w:r>
            <w:proofErr w:type="spellEnd"/>
            <w:r w:rsidRPr="00537936">
              <w:rPr>
                <w:rFonts w:ascii="Arial" w:hAnsi="Arial" w:cs="Arial"/>
                <w:iCs/>
              </w:rPr>
              <w:t xml:space="preserve"> </w:t>
            </w:r>
          </w:p>
        </w:tc>
        <w:tc>
          <w:tcPr>
            <w:tcW w:w="2312" w:type="pct"/>
          </w:tcPr>
          <w:p w14:paraId="18149DEF" w14:textId="34F20FCE" w:rsidR="00181CDD" w:rsidRPr="00537936" w:rsidRDefault="00181CDD" w:rsidP="00D73374">
            <w:pPr>
              <w:spacing w:line="276" w:lineRule="auto"/>
              <w:rPr>
                <w:rFonts w:ascii="Arial" w:hAnsi="Arial" w:cs="Arial"/>
                <w:iCs/>
              </w:rPr>
            </w:pPr>
            <w:r w:rsidRPr="00537936">
              <w:rPr>
                <w:rFonts w:ascii="Arial" w:hAnsi="Arial" w:cs="Arial"/>
                <w:iCs/>
              </w:rPr>
              <w:t>Cement works</w:t>
            </w:r>
            <w:r w:rsidR="00F41567" w:rsidRPr="00537936">
              <w:rPr>
                <w:rFonts w:ascii="Arial" w:hAnsi="Arial" w:cs="Arial"/>
                <w:iCs/>
              </w:rPr>
              <w:t xml:space="preserve"> (Ready Mix)</w:t>
            </w:r>
          </w:p>
        </w:tc>
      </w:tr>
      <w:tr w:rsidR="00181CDD" w:rsidRPr="008A667B" w14:paraId="2C6A594F" w14:textId="77777777" w:rsidTr="00181CDD">
        <w:tc>
          <w:tcPr>
            <w:tcW w:w="1470" w:type="pct"/>
          </w:tcPr>
          <w:p w14:paraId="740C41C3" w14:textId="77777777" w:rsidR="00181CDD" w:rsidRPr="00537936" w:rsidRDefault="00181CDD" w:rsidP="00D73374">
            <w:pPr>
              <w:spacing w:line="276" w:lineRule="auto"/>
              <w:rPr>
                <w:rFonts w:ascii="Arial" w:hAnsi="Arial" w:cs="Arial"/>
                <w:iCs/>
              </w:rPr>
            </w:pPr>
            <w:r w:rsidRPr="00537936">
              <w:rPr>
                <w:rFonts w:ascii="Arial" w:hAnsi="Arial" w:cs="Arial"/>
                <w:iCs/>
              </w:rPr>
              <w:t>Cemex</w:t>
            </w:r>
          </w:p>
        </w:tc>
        <w:tc>
          <w:tcPr>
            <w:tcW w:w="1218" w:type="pct"/>
          </w:tcPr>
          <w:p w14:paraId="1543BB5F" w14:textId="77777777" w:rsidR="00181CDD" w:rsidRPr="00537936" w:rsidRDefault="00181CDD" w:rsidP="00D73374">
            <w:pPr>
              <w:spacing w:line="276" w:lineRule="auto"/>
              <w:rPr>
                <w:rFonts w:ascii="Arial" w:hAnsi="Arial" w:cs="Arial"/>
                <w:iCs/>
              </w:rPr>
            </w:pPr>
            <w:r w:rsidRPr="00537936">
              <w:rPr>
                <w:rFonts w:ascii="Arial" w:hAnsi="Arial" w:cs="Arial"/>
                <w:iCs/>
              </w:rPr>
              <w:t>Parkgate</w:t>
            </w:r>
          </w:p>
        </w:tc>
        <w:tc>
          <w:tcPr>
            <w:tcW w:w="2312" w:type="pct"/>
          </w:tcPr>
          <w:p w14:paraId="6277E3C8" w14:textId="508AB413" w:rsidR="00181CDD" w:rsidRPr="00807BF0" w:rsidRDefault="00181CDD" w:rsidP="00D73374">
            <w:pPr>
              <w:spacing w:line="276" w:lineRule="auto"/>
              <w:rPr>
                <w:rFonts w:ascii="Arial" w:hAnsi="Arial" w:cs="Arial"/>
                <w:iCs/>
              </w:rPr>
            </w:pPr>
            <w:r w:rsidRPr="00537936">
              <w:rPr>
                <w:rFonts w:ascii="Arial" w:hAnsi="Arial" w:cs="Arial"/>
                <w:iCs/>
              </w:rPr>
              <w:t xml:space="preserve">Cement works </w:t>
            </w:r>
            <w:r w:rsidR="00F41567" w:rsidRPr="00537936">
              <w:rPr>
                <w:rFonts w:ascii="Arial" w:hAnsi="Arial" w:cs="Arial"/>
                <w:iCs/>
              </w:rPr>
              <w:t>(Ready Mix)</w:t>
            </w:r>
          </w:p>
        </w:tc>
      </w:tr>
    </w:tbl>
    <w:p w14:paraId="06F0E386" w14:textId="6A1F12C6" w:rsidR="00181CDD" w:rsidRPr="00807BF0" w:rsidRDefault="00ED6723" w:rsidP="00D73374">
      <w:pPr>
        <w:pStyle w:val="BodyText10"/>
        <w:numPr>
          <w:ilvl w:val="0"/>
          <w:numId w:val="3"/>
        </w:numPr>
        <w:spacing w:line="276" w:lineRule="auto"/>
        <w:rPr>
          <w:color w:val="auto"/>
          <w:sz w:val="22"/>
          <w:szCs w:val="22"/>
        </w:rPr>
      </w:pPr>
      <w:r>
        <w:rPr>
          <w:color w:val="auto"/>
          <w:sz w:val="22"/>
          <w:szCs w:val="22"/>
        </w:rPr>
        <w:t>The Doncaster sites in tables 1</w:t>
      </w:r>
      <w:r w:rsidR="00004BC7">
        <w:rPr>
          <w:color w:val="auto"/>
          <w:sz w:val="22"/>
          <w:szCs w:val="22"/>
        </w:rPr>
        <w:t>2</w:t>
      </w:r>
      <w:r>
        <w:rPr>
          <w:color w:val="auto"/>
          <w:sz w:val="22"/>
          <w:szCs w:val="22"/>
        </w:rPr>
        <w:t xml:space="preserve"> and 1</w:t>
      </w:r>
      <w:r w:rsidR="00004BC7">
        <w:rPr>
          <w:color w:val="auto"/>
          <w:sz w:val="22"/>
          <w:szCs w:val="22"/>
        </w:rPr>
        <w:t>3</w:t>
      </w:r>
      <w:r w:rsidR="00181CDD" w:rsidRPr="00807BF0">
        <w:rPr>
          <w:color w:val="auto"/>
          <w:sz w:val="22"/>
          <w:szCs w:val="22"/>
        </w:rPr>
        <w:t xml:space="preserve"> above</w:t>
      </w:r>
      <w:r w:rsidR="002A726A">
        <w:rPr>
          <w:color w:val="auto"/>
          <w:sz w:val="22"/>
          <w:szCs w:val="22"/>
        </w:rPr>
        <w:t>,</w:t>
      </w:r>
      <w:r w:rsidR="00181CDD" w:rsidRPr="00807BF0">
        <w:rPr>
          <w:color w:val="auto"/>
          <w:sz w:val="22"/>
          <w:szCs w:val="22"/>
        </w:rPr>
        <w:t xml:space="preserve"> </w:t>
      </w:r>
      <w:r w:rsidR="00807BF0" w:rsidRPr="00807BF0">
        <w:rPr>
          <w:color w:val="auto"/>
          <w:sz w:val="22"/>
          <w:szCs w:val="22"/>
        </w:rPr>
        <w:t>are</w:t>
      </w:r>
      <w:r w:rsidR="005D5916">
        <w:rPr>
          <w:color w:val="auto"/>
          <w:sz w:val="22"/>
          <w:szCs w:val="22"/>
        </w:rPr>
        <w:t xml:space="preserve"> safeguarded</w:t>
      </w:r>
      <w:r w:rsidR="00181CDD" w:rsidRPr="00807BF0">
        <w:rPr>
          <w:color w:val="auto"/>
          <w:sz w:val="22"/>
          <w:szCs w:val="22"/>
        </w:rPr>
        <w:t xml:space="preserve"> in the </w:t>
      </w:r>
      <w:r w:rsidR="0043075E">
        <w:rPr>
          <w:color w:val="auto"/>
          <w:sz w:val="22"/>
          <w:szCs w:val="22"/>
        </w:rPr>
        <w:t xml:space="preserve">adopted </w:t>
      </w:r>
      <w:r w:rsidR="00181CDD" w:rsidRPr="00807BF0">
        <w:rPr>
          <w:color w:val="auto"/>
          <w:sz w:val="22"/>
          <w:szCs w:val="22"/>
        </w:rPr>
        <w:t>Doncaster Local Plan.</w:t>
      </w:r>
      <w:r>
        <w:rPr>
          <w:color w:val="auto"/>
          <w:sz w:val="22"/>
          <w:szCs w:val="22"/>
        </w:rPr>
        <w:t xml:space="preserve"> The Rotherham sites </w:t>
      </w:r>
      <w:r w:rsidR="00181CDD" w:rsidRPr="00807BF0">
        <w:rPr>
          <w:color w:val="auto"/>
          <w:sz w:val="22"/>
          <w:szCs w:val="22"/>
        </w:rPr>
        <w:t xml:space="preserve">above are safeguarded in the adopted </w:t>
      </w:r>
      <w:r w:rsidR="00807BF0" w:rsidRPr="00807BF0">
        <w:rPr>
          <w:color w:val="auto"/>
          <w:sz w:val="22"/>
          <w:szCs w:val="22"/>
        </w:rPr>
        <w:t xml:space="preserve">Rotherham </w:t>
      </w:r>
      <w:r w:rsidR="00181CDD" w:rsidRPr="00807BF0">
        <w:rPr>
          <w:color w:val="auto"/>
          <w:sz w:val="22"/>
          <w:szCs w:val="22"/>
        </w:rPr>
        <w:t xml:space="preserve">Sites and Policies document. </w:t>
      </w:r>
      <w:r w:rsidR="002A726A">
        <w:rPr>
          <w:color w:val="auto"/>
          <w:sz w:val="22"/>
          <w:szCs w:val="22"/>
        </w:rPr>
        <w:t>Please note, t</w:t>
      </w:r>
      <w:r w:rsidR="00181CDD" w:rsidRPr="00807BF0">
        <w:rPr>
          <w:color w:val="auto"/>
          <w:sz w:val="22"/>
          <w:szCs w:val="22"/>
        </w:rPr>
        <w:t>here is no information ava</w:t>
      </w:r>
      <w:r w:rsidR="00E60C72">
        <w:rPr>
          <w:color w:val="auto"/>
          <w:sz w:val="22"/>
          <w:szCs w:val="22"/>
        </w:rPr>
        <w:t>ilable</w:t>
      </w:r>
      <w:r w:rsidR="00181CDD" w:rsidRPr="00807BF0">
        <w:rPr>
          <w:color w:val="auto"/>
          <w:sz w:val="22"/>
          <w:szCs w:val="22"/>
        </w:rPr>
        <w:t xml:space="preserve"> relating to site capacity.</w:t>
      </w:r>
    </w:p>
    <w:p w14:paraId="62554B84" w14:textId="77777777" w:rsidR="00181CDD" w:rsidRPr="001A7BD6" w:rsidRDefault="00181CDD" w:rsidP="00D73374">
      <w:pPr>
        <w:pStyle w:val="Sub-heading"/>
        <w:spacing w:before="240" w:after="240" w:line="276" w:lineRule="auto"/>
        <w:jc w:val="left"/>
        <w:outlineLvl w:val="1"/>
        <w:rPr>
          <w:color w:val="auto"/>
          <w:sz w:val="24"/>
          <w:szCs w:val="24"/>
        </w:rPr>
      </w:pPr>
      <w:bookmarkStart w:id="61" w:name="_Toc522792110"/>
      <w:bookmarkStart w:id="62" w:name="_Toc198549816"/>
      <w:r w:rsidRPr="001A7BD6">
        <w:rPr>
          <w:color w:val="auto"/>
          <w:sz w:val="24"/>
          <w:szCs w:val="24"/>
        </w:rPr>
        <w:t>Road Network</w:t>
      </w:r>
      <w:bookmarkEnd w:id="61"/>
      <w:bookmarkEnd w:id="62"/>
      <w:r w:rsidRPr="001A7BD6">
        <w:rPr>
          <w:color w:val="auto"/>
          <w:sz w:val="24"/>
          <w:szCs w:val="24"/>
        </w:rPr>
        <w:t xml:space="preserve"> </w:t>
      </w:r>
    </w:p>
    <w:p w14:paraId="7D3EFDDC" w14:textId="77777777" w:rsidR="00181CDD" w:rsidRPr="003025DF" w:rsidRDefault="00181CDD" w:rsidP="00D73374">
      <w:pPr>
        <w:pStyle w:val="BodyText10"/>
        <w:numPr>
          <w:ilvl w:val="0"/>
          <w:numId w:val="3"/>
        </w:numPr>
        <w:spacing w:line="276" w:lineRule="auto"/>
        <w:rPr>
          <w:color w:val="auto"/>
          <w:sz w:val="22"/>
          <w:szCs w:val="22"/>
        </w:rPr>
      </w:pPr>
      <w:r w:rsidRPr="003025DF">
        <w:rPr>
          <w:color w:val="auto"/>
          <w:sz w:val="22"/>
          <w:szCs w:val="22"/>
        </w:rPr>
        <w:t>The major road network used for the transport of minerals in and around Doncaster and Rotherham consists of:</w:t>
      </w:r>
    </w:p>
    <w:p w14:paraId="749DEB3D" w14:textId="77777777" w:rsidR="00181CDD" w:rsidRDefault="00181CDD" w:rsidP="00D73374">
      <w:pPr>
        <w:numPr>
          <w:ilvl w:val="0"/>
          <w:numId w:val="31"/>
        </w:numPr>
        <w:spacing w:line="276" w:lineRule="auto"/>
        <w:rPr>
          <w:rFonts w:ascii="Arial" w:eastAsia="Times New Roman" w:hAnsi="Arial" w:cs="Times New Roman"/>
        </w:rPr>
      </w:pPr>
      <w:r w:rsidRPr="001A7BD6">
        <w:rPr>
          <w:rFonts w:ascii="Arial" w:eastAsia="Times New Roman" w:hAnsi="Arial" w:cs="Times New Roman"/>
        </w:rPr>
        <w:t xml:space="preserve">A1M and A1 (major north – south route) and the M18 leading to the M180 and the M62 (the east – west route) </w:t>
      </w:r>
    </w:p>
    <w:p w14:paraId="695668FC" w14:textId="77777777" w:rsidR="00967256" w:rsidRPr="001A7BD6" w:rsidRDefault="00967256" w:rsidP="00D73374">
      <w:pPr>
        <w:numPr>
          <w:ilvl w:val="0"/>
          <w:numId w:val="31"/>
        </w:numPr>
        <w:spacing w:line="276" w:lineRule="auto"/>
        <w:rPr>
          <w:rFonts w:ascii="Arial" w:eastAsia="Times New Roman" w:hAnsi="Arial" w:cs="Times New Roman"/>
        </w:rPr>
      </w:pPr>
      <w:r>
        <w:rPr>
          <w:rFonts w:ascii="Arial" w:eastAsia="Times New Roman" w:hAnsi="Arial" w:cs="Times New Roman"/>
        </w:rPr>
        <w:t>M1 – (west and south of Rotherham)</w:t>
      </w:r>
    </w:p>
    <w:p w14:paraId="3306860E" w14:textId="77777777" w:rsidR="00181CDD" w:rsidRPr="001A7BD6" w:rsidRDefault="00181CDD" w:rsidP="00D73374">
      <w:pPr>
        <w:numPr>
          <w:ilvl w:val="0"/>
          <w:numId w:val="31"/>
        </w:numPr>
        <w:spacing w:line="276" w:lineRule="auto"/>
        <w:rPr>
          <w:rFonts w:ascii="Arial" w:eastAsia="Times New Roman" w:hAnsi="Arial" w:cs="Times New Roman"/>
        </w:rPr>
      </w:pPr>
      <w:r w:rsidRPr="001A7BD6">
        <w:rPr>
          <w:rFonts w:ascii="Arial" w:eastAsia="Times New Roman" w:hAnsi="Arial" w:cs="Times New Roman"/>
        </w:rPr>
        <w:t>A614 – Bawtry to Thorne (located in the vicinity of Doncaster’s sand and gravel extraction area links to the A638, and M180 via the A18)</w:t>
      </w:r>
    </w:p>
    <w:p w14:paraId="1C51A041" w14:textId="77777777" w:rsidR="00181CDD" w:rsidRPr="001A7BD6" w:rsidRDefault="00181CDD" w:rsidP="00D73374">
      <w:pPr>
        <w:numPr>
          <w:ilvl w:val="0"/>
          <w:numId w:val="31"/>
        </w:numPr>
        <w:spacing w:line="276" w:lineRule="auto"/>
        <w:rPr>
          <w:rFonts w:ascii="Arial" w:eastAsia="Times New Roman" w:hAnsi="Arial" w:cs="Times New Roman"/>
        </w:rPr>
      </w:pPr>
      <w:r w:rsidRPr="001A7BD6">
        <w:rPr>
          <w:rFonts w:ascii="Arial" w:eastAsia="Times New Roman" w:hAnsi="Arial" w:cs="Times New Roman"/>
        </w:rPr>
        <w:t>A638 – Wakefield to Bawtry through Doncaster centre (north –south)</w:t>
      </w:r>
    </w:p>
    <w:p w14:paraId="027D96F0" w14:textId="77777777" w:rsidR="00181CDD" w:rsidRPr="001A7BD6" w:rsidRDefault="00181CDD" w:rsidP="00D73374">
      <w:pPr>
        <w:numPr>
          <w:ilvl w:val="0"/>
          <w:numId w:val="31"/>
        </w:numPr>
        <w:spacing w:line="276" w:lineRule="auto"/>
        <w:rPr>
          <w:rFonts w:ascii="Arial" w:eastAsia="Times New Roman" w:hAnsi="Arial" w:cs="Times New Roman"/>
        </w:rPr>
      </w:pPr>
      <w:r w:rsidRPr="001A7BD6">
        <w:rPr>
          <w:rFonts w:ascii="Arial" w:eastAsia="Times New Roman" w:hAnsi="Arial" w:cs="Times New Roman"/>
        </w:rPr>
        <w:t>A19 – Doncaster to Selby</w:t>
      </w:r>
    </w:p>
    <w:p w14:paraId="271426F1" w14:textId="77777777" w:rsidR="00181CDD" w:rsidRPr="001A7BD6" w:rsidRDefault="00181CDD" w:rsidP="00D73374">
      <w:pPr>
        <w:numPr>
          <w:ilvl w:val="0"/>
          <w:numId w:val="31"/>
        </w:numPr>
        <w:spacing w:line="276" w:lineRule="auto"/>
        <w:rPr>
          <w:rFonts w:ascii="Arial" w:eastAsia="Times New Roman" w:hAnsi="Arial" w:cs="Times New Roman"/>
        </w:rPr>
      </w:pPr>
      <w:r w:rsidRPr="001A7BD6">
        <w:rPr>
          <w:rFonts w:ascii="Arial" w:eastAsia="Times New Roman" w:hAnsi="Arial" w:cs="Times New Roman"/>
        </w:rPr>
        <w:t>A630 – Sheffield, Rotherham, Doncaster, to the M18</w:t>
      </w:r>
    </w:p>
    <w:p w14:paraId="4B26B668" w14:textId="77777777" w:rsidR="00181CDD" w:rsidRPr="001A7BD6" w:rsidRDefault="00181CDD" w:rsidP="00D73374">
      <w:pPr>
        <w:numPr>
          <w:ilvl w:val="0"/>
          <w:numId w:val="31"/>
        </w:numPr>
        <w:spacing w:line="276" w:lineRule="auto"/>
        <w:rPr>
          <w:rFonts w:ascii="Arial" w:eastAsia="Times New Roman" w:hAnsi="Arial" w:cs="Times New Roman"/>
        </w:rPr>
      </w:pPr>
      <w:r w:rsidRPr="001A7BD6">
        <w:rPr>
          <w:rFonts w:ascii="Arial" w:eastAsia="Times New Roman" w:hAnsi="Arial" w:cs="Times New Roman"/>
        </w:rPr>
        <w:t>A57 – Sheffield to Worksop (through Rotherham)</w:t>
      </w:r>
    </w:p>
    <w:p w14:paraId="27308FDF" w14:textId="77777777" w:rsidR="00181CDD" w:rsidRPr="001A7BD6" w:rsidRDefault="00181CDD" w:rsidP="00D73374">
      <w:pPr>
        <w:numPr>
          <w:ilvl w:val="0"/>
          <w:numId w:val="31"/>
        </w:numPr>
        <w:spacing w:line="276" w:lineRule="auto"/>
        <w:rPr>
          <w:rFonts w:ascii="Arial" w:eastAsia="Times New Roman" w:hAnsi="Arial" w:cs="Times New Roman"/>
        </w:rPr>
      </w:pPr>
      <w:r w:rsidRPr="001A7BD6">
        <w:rPr>
          <w:rFonts w:ascii="Arial" w:eastAsia="Times New Roman" w:hAnsi="Arial" w:cs="Times New Roman"/>
        </w:rPr>
        <w:t>A631 – Sheffield to Bawtry</w:t>
      </w:r>
    </w:p>
    <w:p w14:paraId="0D0C1A8F" w14:textId="77777777" w:rsidR="00181CDD" w:rsidRPr="001A7BD6" w:rsidRDefault="00181CDD" w:rsidP="00D73374">
      <w:pPr>
        <w:numPr>
          <w:ilvl w:val="0"/>
          <w:numId w:val="31"/>
        </w:numPr>
        <w:spacing w:line="276" w:lineRule="auto"/>
        <w:rPr>
          <w:rFonts w:ascii="Arial" w:eastAsia="Times New Roman" w:hAnsi="Arial" w:cs="Times New Roman"/>
        </w:rPr>
      </w:pPr>
      <w:r w:rsidRPr="001A7BD6">
        <w:rPr>
          <w:rFonts w:ascii="Arial" w:eastAsia="Times New Roman" w:hAnsi="Arial" w:cs="Times New Roman"/>
        </w:rPr>
        <w:t xml:space="preserve">A629 – </w:t>
      </w:r>
      <w:proofErr w:type="spellStart"/>
      <w:r w:rsidRPr="001A7BD6">
        <w:rPr>
          <w:rFonts w:ascii="Arial" w:eastAsia="Times New Roman" w:hAnsi="Arial" w:cs="Times New Roman"/>
        </w:rPr>
        <w:t>Chapletown</w:t>
      </w:r>
      <w:proofErr w:type="spellEnd"/>
    </w:p>
    <w:p w14:paraId="24638A70" w14:textId="77777777" w:rsidR="00181CDD" w:rsidRPr="001A7BD6" w:rsidRDefault="00181CDD" w:rsidP="00D73374">
      <w:pPr>
        <w:numPr>
          <w:ilvl w:val="0"/>
          <w:numId w:val="31"/>
        </w:numPr>
        <w:spacing w:line="276" w:lineRule="auto"/>
        <w:rPr>
          <w:rFonts w:ascii="Arial" w:eastAsia="Times New Roman" w:hAnsi="Arial" w:cs="Times New Roman"/>
        </w:rPr>
      </w:pPr>
      <w:r w:rsidRPr="001A7BD6">
        <w:rPr>
          <w:rFonts w:ascii="Arial" w:eastAsia="Times New Roman" w:hAnsi="Arial" w:cs="Times New Roman"/>
        </w:rPr>
        <w:t xml:space="preserve">A633 – Barnsley; and </w:t>
      </w:r>
    </w:p>
    <w:p w14:paraId="19C29DCB" w14:textId="77777777" w:rsidR="00181CDD" w:rsidRPr="001A7BD6" w:rsidRDefault="00181CDD" w:rsidP="00D73374">
      <w:pPr>
        <w:numPr>
          <w:ilvl w:val="0"/>
          <w:numId w:val="31"/>
        </w:numPr>
        <w:spacing w:after="240" w:line="276" w:lineRule="auto"/>
        <w:rPr>
          <w:rFonts w:ascii="Arial" w:eastAsia="Times New Roman" w:hAnsi="Arial" w:cs="Times New Roman"/>
        </w:rPr>
      </w:pPr>
      <w:r w:rsidRPr="001A7BD6">
        <w:rPr>
          <w:rFonts w:ascii="Arial" w:eastAsia="Times New Roman" w:hAnsi="Arial" w:cs="Times New Roman"/>
        </w:rPr>
        <w:t xml:space="preserve">A6195 – Dearne Valley Parkway. </w:t>
      </w:r>
    </w:p>
    <w:p w14:paraId="6A5DAC65" w14:textId="77777777" w:rsidR="00181CDD" w:rsidRPr="00ED6723" w:rsidRDefault="00ED6723" w:rsidP="00D73374">
      <w:pPr>
        <w:pStyle w:val="BodyText10"/>
        <w:numPr>
          <w:ilvl w:val="0"/>
          <w:numId w:val="3"/>
        </w:numPr>
        <w:spacing w:line="276" w:lineRule="auto"/>
        <w:rPr>
          <w:color w:val="auto"/>
          <w:sz w:val="22"/>
          <w:szCs w:val="22"/>
        </w:rPr>
      </w:pPr>
      <w:r w:rsidRPr="00ED6723">
        <w:rPr>
          <w:color w:val="auto"/>
          <w:sz w:val="22"/>
          <w:szCs w:val="22"/>
        </w:rPr>
        <w:t>T</w:t>
      </w:r>
      <w:r w:rsidR="00865224" w:rsidRPr="00ED6723">
        <w:rPr>
          <w:color w:val="auto"/>
          <w:sz w:val="22"/>
          <w:szCs w:val="22"/>
        </w:rPr>
        <w:t>he Doncaster Local Plan</w:t>
      </w:r>
      <w:r w:rsidR="00865224" w:rsidRPr="00ED6723">
        <w:rPr>
          <w:b/>
          <w:i/>
          <w:color w:val="auto"/>
          <w:sz w:val="22"/>
          <w:szCs w:val="22"/>
        </w:rPr>
        <w:t xml:space="preserve"> </w:t>
      </w:r>
      <w:r w:rsidR="00181CDD" w:rsidRPr="00ED6723">
        <w:rPr>
          <w:color w:val="auto"/>
          <w:sz w:val="22"/>
          <w:szCs w:val="22"/>
        </w:rPr>
        <w:t xml:space="preserve">states all proposals including minerals will be required to provide a technical assessment of the transport impacts using the most up-to date guidance, policy and best practice. Transport plans will continue to be </w:t>
      </w:r>
      <w:proofErr w:type="gramStart"/>
      <w:r w:rsidR="00181CDD" w:rsidRPr="00ED6723">
        <w:rPr>
          <w:color w:val="auto"/>
          <w:sz w:val="22"/>
          <w:szCs w:val="22"/>
        </w:rPr>
        <w:t>required</w:t>
      </w:r>
      <w:proofErr w:type="gramEnd"/>
      <w:r w:rsidR="00181CDD" w:rsidRPr="00ED6723">
        <w:rPr>
          <w:color w:val="auto"/>
          <w:sz w:val="22"/>
          <w:szCs w:val="22"/>
        </w:rPr>
        <w:t xml:space="preserve"> and the plans will deal with detailed routing, off-site parking, hours of movement, considerate driving and complaints procedure and will be incorporated into pre-application discussi</w:t>
      </w:r>
      <w:r w:rsidR="00865224" w:rsidRPr="00ED6723">
        <w:rPr>
          <w:color w:val="auto"/>
          <w:sz w:val="22"/>
          <w:szCs w:val="22"/>
        </w:rPr>
        <w:t xml:space="preserve">ons and/or planning agreements. </w:t>
      </w:r>
      <w:r w:rsidR="004E3DAA" w:rsidRPr="00ED6723">
        <w:rPr>
          <w:color w:val="auto"/>
          <w:sz w:val="22"/>
          <w:szCs w:val="22"/>
        </w:rPr>
        <w:t>These</w:t>
      </w:r>
      <w:r w:rsidR="00181CDD" w:rsidRPr="00ED6723">
        <w:rPr>
          <w:color w:val="auto"/>
          <w:sz w:val="22"/>
          <w:szCs w:val="22"/>
        </w:rPr>
        <w:t xml:space="preserve"> requirement</w:t>
      </w:r>
      <w:r w:rsidR="004E3DAA" w:rsidRPr="00ED6723">
        <w:rPr>
          <w:color w:val="auto"/>
          <w:sz w:val="22"/>
          <w:szCs w:val="22"/>
        </w:rPr>
        <w:t xml:space="preserve">s are </w:t>
      </w:r>
      <w:r w:rsidR="00CB7352" w:rsidRPr="00ED6723">
        <w:rPr>
          <w:color w:val="auto"/>
          <w:sz w:val="22"/>
          <w:szCs w:val="22"/>
        </w:rPr>
        <w:t>also</w:t>
      </w:r>
      <w:r w:rsidR="00B34332" w:rsidRPr="00ED6723">
        <w:rPr>
          <w:color w:val="auto"/>
          <w:sz w:val="22"/>
          <w:szCs w:val="22"/>
        </w:rPr>
        <w:t xml:space="preserve"> found in </w:t>
      </w:r>
      <w:r w:rsidR="004E3DAA" w:rsidRPr="00ED6723">
        <w:rPr>
          <w:color w:val="auto"/>
          <w:sz w:val="22"/>
          <w:szCs w:val="22"/>
        </w:rPr>
        <w:t>the National Planning Practice Guidance</w:t>
      </w:r>
      <w:r w:rsidR="00B34332" w:rsidRPr="00ED6723">
        <w:rPr>
          <w:color w:val="auto"/>
          <w:sz w:val="22"/>
          <w:szCs w:val="22"/>
        </w:rPr>
        <w:t>.</w:t>
      </w:r>
      <w:r w:rsidR="004E3DAA" w:rsidRPr="00ED6723">
        <w:rPr>
          <w:color w:val="auto"/>
          <w:sz w:val="22"/>
          <w:szCs w:val="22"/>
        </w:rPr>
        <w:t xml:space="preserve"> </w:t>
      </w:r>
    </w:p>
    <w:p w14:paraId="26AB9169" w14:textId="4E2F89A7" w:rsidR="00181CDD" w:rsidRPr="003025DF" w:rsidRDefault="00181CDD" w:rsidP="00D73374">
      <w:pPr>
        <w:pStyle w:val="BodyText10"/>
        <w:numPr>
          <w:ilvl w:val="0"/>
          <w:numId w:val="3"/>
        </w:numPr>
        <w:spacing w:line="276" w:lineRule="auto"/>
        <w:rPr>
          <w:color w:val="auto"/>
          <w:sz w:val="22"/>
          <w:szCs w:val="22"/>
        </w:rPr>
      </w:pPr>
      <w:r w:rsidRPr="003025DF">
        <w:rPr>
          <w:color w:val="auto"/>
          <w:sz w:val="22"/>
          <w:szCs w:val="22"/>
        </w:rPr>
        <w:lastRenderedPageBreak/>
        <w:t xml:space="preserve">Rotherham’s Core Strategy 2013-2028 (adopted September 2014) and Sites and Policies document (adopted June 2018) require proposals to make adequate arrangements for sustainable transport infrastructure and </w:t>
      </w:r>
      <w:r w:rsidR="006F6E49" w:rsidRPr="003025DF">
        <w:rPr>
          <w:color w:val="auto"/>
          <w:sz w:val="22"/>
          <w:szCs w:val="22"/>
        </w:rPr>
        <w:t>consider</w:t>
      </w:r>
      <w:r w:rsidRPr="003025DF">
        <w:rPr>
          <w:color w:val="auto"/>
          <w:sz w:val="22"/>
          <w:szCs w:val="22"/>
        </w:rPr>
        <w:t xml:space="preserve"> good practice guidance including that relating to transport assessments. They also promote improvements to the freight network and the transfer of freight from road to canal.</w:t>
      </w:r>
    </w:p>
    <w:p w14:paraId="1EF62025" w14:textId="77777777" w:rsidR="00181CDD" w:rsidRPr="001A7BD6" w:rsidRDefault="00181CDD" w:rsidP="00D73374">
      <w:pPr>
        <w:pStyle w:val="Sub-heading"/>
        <w:spacing w:before="240" w:after="240" w:line="276" w:lineRule="auto"/>
        <w:jc w:val="left"/>
        <w:outlineLvl w:val="1"/>
        <w:rPr>
          <w:color w:val="auto"/>
          <w:sz w:val="24"/>
          <w:szCs w:val="24"/>
        </w:rPr>
      </w:pPr>
      <w:bookmarkStart w:id="63" w:name="_Toc473105766"/>
      <w:bookmarkStart w:id="64" w:name="_Toc500147138"/>
      <w:bookmarkStart w:id="65" w:name="_Toc522792111"/>
      <w:bookmarkStart w:id="66" w:name="_Toc198549817"/>
      <w:r w:rsidRPr="001A7BD6">
        <w:rPr>
          <w:color w:val="auto"/>
          <w:sz w:val="24"/>
          <w:szCs w:val="24"/>
        </w:rPr>
        <w:t>Traffic Issues</w:t>
      </w:r>
      <w:bookmarkEnd w:id="63"/>
      <w:bookmarkEnd w:id="64"/>
      <w:bookmarkEnd w:id="65"/>
      <w:r w:rsidR="00ED6723">
        <w:rPr>
          <w:color w:val="auto"/>
          <w:sz w:val="24"/>
          <w:szCs w:val="24"/>
        </w:rPr>
        <w:t xml:space="preserve"> (Minerals Development)</w:t>
      </w:r>
      <w:bookmarkEnd w:id="66"/>
    </w:p>
    <w:p w14:paraId="633BEB5A" w14:textId="37BBA627" w:rsidR="00181CDD" w:rsidRPr="00CB7352" w:rsidRDefault="00181CDD" w:rsidP="00D73374">
      <w:pPr>
        <w:pStyle w:val="BodyText10"/>
        <w:numPr>
          <w:ilvl w:val="0"/>
          <w:numId w:val="3"/>
        </w:numPr>
        <w:spacing w:line="276" w:lineRule="auto"/>
        <w:rPr>
          <w:color w:val="auto"/>
          <w:sz w:val="22"/>
          <w:szCs w:val="22"/>
        </w:rPr>
      </w:pPr>
      <w:r w:rsidRPr="00CB7352">
        <w:rPr>
          <w:color w:val="auto"/>
          <w:sz w:val="22"/>
          <w:szCs w:val="22"/>
        </w:rPr>
        <w:t xml:space="preserve">Nationally road transport equates for 90% of aggregate mineral movement, with rail representing 9% and waterways only 1%. </w:t>
      </w:r>
      <w:r w:rsidR="00B34332">
        <w:rPr>
          <w:color w:val="auto"/>
          <w:sz w:val="22"/>
          <w:szCs w:val="22"/>
        </w:rPr>
        <w:t>Quarrying activities</w:t>
      </w:r>
      <w:r w:rsidRPr="00CB7352">
        <w:rPr>
          <w:color w:val="auto"/>
          <w:sz w:val="22"/>
          <w:szCs w:val="22"/>
        </w:rPr>
        <w:t xml:space="preserve"> result in heavy goods vehicle (HGV) traffic. Exceptions include quarries located near to navigable waterways or rail depots</w:t>
      </w:r>
      <w:r w:rsidR="00B34332">
        <w:rPr>
          <w:color w:val="auto"/>
          <w:sz w:val="22"/>
          <w:szCs w:val="22"/>
        </w:rPr>
        <w:t>, Cadeby quarry</w:t>
      </w:r>
      <w:r w:rsidR="006F6E49">
        <w:rPr>
          <w:rStyle w:val="FootnoteReference"/>
          <w:color w:val="auto"/>
          <w:sz w:val="22"/>
          <w:szCs w:val="22"/>
        </w:rPr>
        <w:footnoteReference w:id="15"/>
      </w:r>
      <w:r w:rsidR="006F6E49">
        <w:rPr>
          <w:color w:val="auto"/>
          <w:sz w:val="22"/>
          <w:szCs w:val="22"/>
        </w:rPr>
        <w:t xml:space="preserve"> </w:t>
      </w:r>
      <w:r w:rsidR="00B34332">
        <w:rPr>
          <w:color w:val="auto"/>
          <w:sz w:val="22"/>
          <w:szCs w:val="22"/>
        </w:rPr>
        <w:t xml:space="preserve">is </w:t>
      </w:r>
      <w:r w:rsidR="00B35201">
        <w:rPr>
          <w:color w:val="auto"/>
          <w:sz w:val="22"/>
          <w:szCs w:val="22"/>
        </w:rPr>
        <w:t xml:space="preserve">the </w:t>
      </w:r>
      <w:r w:rsidR="00B34332">
        <w:rPr>
          <w:color w:val="auto"/>
          <w:sz w:val="22"/>
          <w:szCs w:val="22"/>
        </w:rPr>
        <w:t>only quarry in Doncaster next to a navigable waterway</w:t>
      </w:r>
      <w:r w:rsidR="00C71CC1">
        <w:rPr>
          <w:color w:val="auto"/>
          <w:sz w:val="22"/>
          <w:szCs w:val="22"/>
        </w:rPr>
        <w:t xml:space="preserve"> and is used infrequently</w:t>
      </w:r>
      <w:r w:rsidRPr="00CB7352">
        <w:rPr>
          <w:color w:val="auto"/>
          <w:sz w:val="22"/>
          <w:szCs w:val="22"/>
        </w:rPr>
        <w:t xml:space="preserve">. Nearly </w:t>
      </w:r>
      <w:proofErr w:type="gramStart"/>
      <w:r w:rsidRPr="00CB7352">
        <w:rPr>
          <w:color w:val="auto"/>
          <w:sz w:val="22"/>
          <w:szCs w:val="22"/>
        </w:rPr>
        <w:t>all of</w:t>
      </w:r>
      <w:proofErr w:type="gramEnd"/>
      <w:r w:rsidRPr="00CB7352">
        <w:rPr>
          <w:color w:val="auto"/>
          <w:sz w:val="22"/>
          <w:szCs w:val="22"/>
        </w:rPr>
        <w:t xml:space="preserve"> the South Yorkshire su</w:t>
      </w:r>
      <w:r w:rsidR="00B35201">
        <w:rPr>
          <w:color w:val="auto"/>
          <w:sz w:val="22"/>
          <w:szCs w:val="22"/>
        </w:rPr>
        <w:t>b region’s minerals are</w:t>
      </w:r>
      <w:r w:rsidRPr="00CB7352">
        <w:rPr>
          <w:color w:val="auto"/>
          <w:sz w:val="22"/>
          <w:szCs w:val="22"/>
        </w:rPr>
        <w:t xml:space="preserve"> transported by road. HGV traffic can have adverse environmental impacts such as noise, air pollution, vibration, dust and road safety hazards for pedestrians, cyclists and other vehicles. Lorries also produce carbon emissions, which contribute toward global warming.  To minimise the impacts associated with HGV traffic the use of rail and water for the transportation of minerals is encouraged in the</w:t>
      </w:r>
      <w:r w:rsidR="00B35201">
        <w:rPr>
          <w:color w:val="auto"/>
          <w:sz w:val="22"/>
          <w:szCs w:val="22"/>
        </w:rPr>
        <w:t xml:space="preserve"> adopted Doncaster Local Plan</w:t>
      </w:r>
      <w:r w:rsidRPr="00CB7352">
        <w:rPr>
          <w:color w:val="auto"/>
          <w:sz w:val="22"/>
          <w:szCs w:val="22"/>
        </w:rPr>
        <w:t>.</w:t>
      </w:r>
      <w:r w:rsidR="00E5482F">
        <w:rPr>
          <w:color w:val="auto"/>
          <w:sz w:val="22"/>
          <w:szCs w:val="22"/>
        </w:rPr>
        <w:t xml:space="preserve"> </w:t>
      </w:r>
      <w:r w:rsidRPr="00CB7352">
        <w:rPr>
          <w:color w:val="auto"/>
          <w:sz w:val="22"/>
          <w:szCs w:val="22"/>
        </w:rPr>
        <w:t>It should be noted from the outset that currently the potential for increasing the sustainable transportation of minerals is locally very limited.</w:t>
      </w:r>
      <w:r w:rsidR="00E5482F">
        <w:rPr>
          <w:color w:val="auto"/>
          <w:sz w:val="22"/>
          <w:szCs w:val="22"/>
        </w:rPr>
        <w:t xml:space="preserve"> T</w:t>
      </w:r>
      <w:r w:rsidR="00ED6723">
        <w:rPr>
          <w:color w:val="auto"/>
          <w:sz w:val="22"/>
          <w:szCs w:val="22"/>
        </w:rPr>
        <w:t>he Doncaster</w:t>
      </w:r>
      <w:r w:rsidR="00E5482F" w:rsidRPr="00E5482F">
        <w:rPr>
          <w:color w:val="auto"/>
          <w:sz w:val="22"/>
          <w:szCs w:val="22"/>
        </w:rPr>
        <w:t xml:space="preserve"> Local Plan</w:t>
      </w:r>
      <w:r w:rsidR="00E5482F">
        <w:rPr>
          <w:color w:val="auto"/>
          <w:sz w:val="22"/>
          <w:szCs w:val="22"/>
        </w:rPr>
        <w:t xml:space="preserve"> states mineral development proposals </w:t>
      </w:r>
      <w:r w:rsidR="00E5482F" w:rsidRPr="00E5482F">
        <w:rPr>
          <w:color w:val="auto"/>
          <w:sz w:val="22"/>
          <w:szCs w:val="22"/>
        </w:rPr>
        <w:t>will be supported where all impacts are addressed and appropriately mitigated in accordance with policies in the Local Plan, national policy and planning practice guidance</w:t>
      </w:r>
      <w:r w:rsidR="00E5482F">
        <w:rPr>
          <w:color w:val="auto"/>
          <w:sz w:val="22"/>
          <w:szCs w:val="22"/>
        </w:rPr>
        <w:t>.</w:t>
      </w:r>
      <w:r w:rsidR="006F6E49">
        <w:rPr>
          <w:color w:val="auto"/>
          <w:sz w:val="22"/>
          <w:szCs w:val="22"/>
        </w:rPr>
        <w:t xml:space="preserve"> There are no operational quarries in Rotherham. </w:t>
      </w:r>
    </w:p>
    <w:p w14:paraId="0CC0D994" w14:textId="77777777" w:rsidR="00181CDD" w:rsidRPr="001A7BD6" w:rsidRDefault="00181CDD" w:rsidP="00D73374">
      <w:pPr>
        <w:pStyle w:val="Sub-heading"/>
        <w:spacing w:before="240" w:after="240" w:line="276" w:lineRule="auto"/>
        <w:jc w:val="left"/>
        <w:outlineLvl w:val="1"/>
        <w:rPr>
          <w:color w:val="auto"/>
          <w:sz w:val="24"/>
          <w:szCs w:val="24"/>
        </w:rPr>
      </w:pPr>
      <w:bookmarkStart w:id="67" w:name="_Toc473105767"/>
      <w:bookmarkStart w:id="68" w:name="_Toc500147139"/>
      <w:bookmarkStart w:id="69" w:name="_Toc522792112"/>
      <w:bookmarkStart w:id="70" w:name="_Toc198549818"/>
      <w:r w:rsidRPr="001A7BD6">
        <w:rPr>
          <w:color w:val="auto"/>
          <w:sz w:val="24"/>
          <w:szCs w:val="24"/>
        </w:rPr>
        <w:t>Marine Aggregates</w:t>
      </w:r>
      <w:bookmarkEnd w:id="67"/>
      <w:r w:rsidRPr="001A7BD6">
        <w:rPr>
          <w:color w:val="auto"/>
          <w:sz w:val="24"/>
          <w:szCs w:val="24"/>
          <w:vertAlign w:val="superscript"/>
        </w:rPr>
        <w:footnoteReference w:id="16"/>
      </w:r>
      <w:bookmarkEnd w:id="68"/>
      <w:bookmarkEnd w:id="69"/>
      <w:bookmarkEnd w:id="70"/>
    </w:p>
    <w:p w14:paraId="5D67BC3C" w14:textId="02C248D9" w:rsidR="00181CDD" w:rsidRPr="00EF39A0" w:rsidRDefault="00181CDD" w:rsidP="00D73374">
      <w:pPr>
        <w:pStyle w:val="BodyText10"/>
        <w:numPr>
          <w:ilvl w:val="0"/>
          <w:numId w:val="3"/>
        </w:numPr>
        <w:spacing w:line="276" w:lineRule="auto"/>
        <w:rPr>
          <w:color w:val="auto"/>
          <w:sz w:val="22"/>
          <w:szCs w:val="22"/>
        </w:rPr>
      </w:pPr>
      <w:r w:rsidRPr="00EF39A0">
        <w:rPr>
          <w:color w:val="auto"/>
          <w:sz w:val="22"/>
          <w:szCs w:val="22"/>
        </w:rPr>
        <w:t>Marine aggregates are not currently a consideration for Doncaster and</w:t>
      </w:r>
      <w:r w:rsidR="00B15420">
        <w:rPr>
          <w:color w:val="auto"/>
          <w:sz w:val="22"/>
          <w:szCs w:val="22"/>
        </w:rPr>
        <w:t xml:space="preserve"> Rotherham. </w:t>
      </w:r>
      <w:r w:rsidRPr="00EF39A0">
        <w:rPr>
          <w:color w:val="auto"/>
          <w:sz w:val="22"/>
          <w:szCs w:val="22"/>
        </w:rPr>
        <w:t xml:space="preserve">On a positive note, </w:t>
      </w:r>
      <w:r w:rsidR="00B15420">
        <w:rPr>
          <w:color w:val="auto"/>
          <w:sz w:val="22"/>
          <w:szCs w:val="22"/>
        </w:rPr>
        <w:t>both authorities are</w:t>
      </w:r>
      <w:r w:rsidRPr="00EF39A0">
        <w:rPr>
          <w:color w:val="auto"/>
          <w:sz w:val="22"/>
          <w:szCs w:val="22"/>
        </w:rPr>
        <w:t xml:space="preserve"> well connected in terms of navig</w:t>
      </w:r>
      <w:r w:rsidR="00E5482F" w:rsidRPr="00EF39A0">
        <w:rPr>
          <w:color w:val="auto"/>
          <w:sz w:val="22"/>
          <w:szCs w:val="22"/>
        </w:rPr>
        <w:t>able waterwa</w:t>
      </w:r>
      <w:r w:rsidR="006F6E49">
        <w:rPr>
          <w:color w:val="auto"/>
          <w:sz w:val="22"/>
          <w:szCs w:val="22"/>
        </w:rPr>
        <w:t xml:space="preserve">ys. Please refer to </w:t>
      </w:r>
      <w:r w:rsidR="00E5482F" w:rsidRPr="00EF39A0">
        <w:rPr>
          <w:color w:val="auto"/>
          <w:sz w:val="22"/>
          <w:szCs w:val="22"/>
        </w:rPr>
        <w:t>the 2016 Local Aggregates Assessment</w:t>
      </w:r>
      <w:r w:rsidR="006F6E49">
        <w:rPr>
          <w:color w:val="auto"/>
          <w:sz w:val="22"/>
          <w:szCs w:val="22"/>
        </w:rPr>
        <w:t xml:space="preserve"> for more detail on Marine Aggregates </w:t>
      </w:r>
      <w:r w:rsidR="00D3708D">
        <w:rPr>
          <w:color w:val="auto"/>
          <w:sz w:val="22"/>
          <w:szCs w:val="22"/>
        </w:rPr>
        <w:t>Study</w:t>
      </w:r>
      <w:r w:rsidRPr="00EF39A0">
        <w:rPr>
          <w:color w:val="auto"/>
          <w:sz w:val="22"/>
          <w:szCs w:val="22"/>
        </w:rPr>
        <w:t xml:space="preserve">.  </w:t>
      </w:r>
    </w:p>
    <w:p w14:paraId="6FAD2FD9" w14:textId="77777777" w:rsidR="003C2650" w:rsidRPr="00EF39A0" w:rsidRDefault="00E5482F" w:rsidP="00D73374">
      <w:pPr>
        <w:pStyle w:val="Heading1"/>
        <w:spacing w:after="240"/>
        <w:rPr>
          <w:rFonts w:ascii="Arial" w:eastAsia="Times New Roman" w:hAnsi="Arial" w:cs="Arial"/>
          <w:color w:val="auto"/>
          <w:sz w:val="26"/>
          <w:szCs w:val="26"/>
        </w:rPr>
      </w:pPr>
      <w:bookmarkStart w:id="71" w:name="_Toc198549819"/>
      <w:r w:rsidRPr="00EF39A0">
        <w:rPr>
          <w:rFonts w:ascii="Arial" w:eastAsia="Times New Roman" w:hAnsi="Arial" w:cs="Arial"/>
          <w:color w:val="auto"/>
          <w:sz w:val="26"/>
          <w:szCs w:val="26"/>
        </w:rPr>
        <w:t>Assessment of Future Supply</w:t>
      </w:r>
      <w:bookmarkEnd w:id="71"/>
    </w:p>
    <w:p w14:paraId="621180CE" w14:textId="77777777" w:rsidR="00EF39A0" w:rsidRDefault="00EF39A0" w:rsidP="00D73374">
      <w:pPr>
        <w:pStyle w:val="Sub-heading"/>
        <w:spacing w:before="240" w:after="240" w:line="276" w:lineRule="auto"/>
        <w:jc w:val="left"/>
        <w:outlineLvl w:val="1"/>
        <w:rPr>
          <w:color w:val="auto"/>
          <w:sz w:val="24"/>
          <w:szCs w:val="24"/>
        </w:rPr>
      </w:pPr>
      <w:bookmarkStart w:id="72" w:name="_Toc473105770"/>
      <w:bookmarkStart w:id="73" w:name="_Toc500147141"/>
      <w:bookmarkStart w:id="74" w:name="_Toc522792114"/>
      <w:bookmarkStart w:id="75" w:name="_Toc198549820"/>
      <w:r w:rsidRPr="000F1A85">
        <w:rPr>
          <w:color w:val="auto"/>
          <w:sz w:val="24"/>
          <w:szCs w:val="24"/>
        </w:rPr>
        <w:t>Housing</w:t>
      </w:r>
      <w:bookmarkEnd w:id="72"/>
      <w:bookmarkEnd w:id="73"/>
      <w:bookmarkEnd w:id="74"/>
      <w:bookmarkEnd w:id="75"/>
      <w:r w:rsidRPr="00917AF4">
        <w:rPr>
          <w:color w:val="auto"/>
          <w:sz w:val="24"/>
          <w:szCs w:val="24"/>
        </w:rPr>
        <w:t xml:space="preserve"> </w:t>
      </w:r>
    </w:p>
    <w:p w14:paraId="54874B1B" w14:textId="77777777" w:rsidR="00EF39A0" w:rsidRDefault="007D2514" w:rsidP="00D73374">
      <w:pPr>
        <w:pStyle w:val="BodyText10"/>
        <w:numPr>
          <w:ilvl w:val="0"/>
          <w:numId w:val="3"/>
        </w:numPr>
        <w:spacing w:line="276" w:lineRule="auto"/>
        <w:rPr>
          <w:color w:val="auto"/>
          <w:sz w:val="22"/>
          <w:szCs w:val="22"/>
        </w:rPr>
      </w:pPr>
      <w:r w:rsidRPr="007D2514">
        <w:rPr>
          <w:color w:val="auto"/>
          <w:sz w:val="22"/>
          <w:szCs w:val="22"/>
        </w:rPr>
        <w:t>T</w:t>
      </w:r>
      <w:r>
        <w:rPr>
          <w:color w:val="auto"/>
          <w:sz w:val="22"/>
          <w:szCs w:val="22"/>
        </w:rPr>
        <w:t xml:space="preserve">he </w:t>
      </w:r>
      <w:r w:rsidR="00083E73">
        <w:rPr>
          <w:color w:val="auto"/>
          <w:sz w:val="22"/>
          <w:szCs w:val="22"/>
        </w:rPr>
        <w:t xml:space="preserve">Doncaster </w:t>
      </w:r>
      <w:r>
        <w:rPr>
          <w:color w:val="auto"/>
          <w:sz w:val="22"/>
          <w:szCs w:val="22"/>
        </w:rPr>
        <w:t xml:space="preserve">Local Plan identifies Doncaster will deliver </w:t>
      </w:r>
      <w:r w:rsidR="00932594">
        <w:rPr>
          <w:color w:val="auto"/>
          <w:sz w:val="22"/>
          <w:szCs w:val="22"/>
        </w:rPr>
        <w:t>15,640</w:t>
      </w:r>
      <w:r w:rsidRPr="007D2514">
        <w:rPr>
          <w:color w:val="auto"/>
          <w:sz w:val="22"/>
          <w:szCs w:val="22"/>
        </w:rPr>
        <w:t xml:space="preserve"> new h</w:t>
      </w:r>
      <w:r w:rsidR="00932594">
        <w:rPr>
          <w:color w:val="auto"/>
          <w:sz w:val="22"/>
          <w:szCs w:val="22"/>
        </w:rPr>
        <w:t>omes over the plan period 2018</w:t>
      </w:r>
      <w:r w:rsidRPr="007D2514">
        <w:rPr>
          <w:color w:val="auto"/>
          <w:sz w:val="22"/>
          <w:szCs w:val="22"/>
        </w:rPr>
        <w:t xml:space="preserve"> – 2035</w:t>
      </w:r>
      <w:r w:rsidR="00932594">
        <w:rPr>
          <w:color w:val="auto"/>
          <w:sz w:val="22"/>
          <w:szCs w:val="22"/>
        </w:rPr>
        <w:t xml:space="preserve"> at an annual rate of </w:t>
      </w:r>
      <w:r w:rsidRPr="00083E73">
        <w:rPr>
          <w:color w:val="auto"/>
          <w:sz w:val="22"/>
          <w:szCs w:val="22"/>
        </w:rPr>
        <w:t>920</w:t>
      </w:r>
      <w:r w:rsidR="00932594">
        <w:rPr>
          <w:color w:val="auto"/>
          <w:sz w:val="22"/>
          <w:szCs w:val="22"/>
        </w:rPr>
        <w:t xml:space="preserve"> net units</w:t>
      </w:r>
      <w:r w:rsidRPr="00083E73">
        <w:rPr>
          <w:color w:val="auto"/>
          <w:sz w:val="22"/>
          <w:szCs w:val="22"/>
        </w:rPr>
        <w:t xml:space="preserve"> per annum</w:t>
      </w:r>
      <w:r w:rsidR="00ED6723">
        <w:rPr>
          <w:color w:val="auto"/>
          <w:sz w:val="22"/>
          <w:szCs w:val="22"/>
        </w:rPr>
        <w:t xml:space="preserve"> (Policy 2)</w:t>
      </w:r>
      <w:r w:rsidR="00932594">
        <w:rPr>
          <w:color w:val="auto"/>
          <w:sz w:val="22"/>
          <w:szCs w:val="22"/>
        </w:rPr>
        <w:t>.</w:t>
      </w:r>
      <w:r w:rsidR="00083E73">
        <w:rPr>
          <w:color w:val="auto"/>
          <w:sz w:val="22"/>
          <w:szCs w:val="22"/>
        </w:rPr>
        <w:t xml:space="preserve"> </w:t>
      </w:r>
    </w:p>
    <w:p w14:paraId="20E74CCE" w14:textId="6EA6391A" w:rsidR="00537936" w:rsidRPr="00537936" w:rsidRDefault="00537936" w:rsidP="00D73374">
      <w:pPr>
        <w:pStyle w:val="BodyText10"/>
        <w:numPr>
          <w:ilvl w:val="0"/>
          <w:numId w:val="3"/>
        </w:numPr>
        <w:spacing w:line="276" w:lineRule="auto"/>
        <w:rPr>
          <w:color w:val="auto"/>
          <w:sz w:val="22"/>
          <w:szCs w:val="22"/>
        </w:rPr>
      </w:pPr>
      <w:r w:rsidRPr="00537936">
        <w:rPr>
          <w:color w:val="auto"/>
          <w:sz w:val="22"/>
          <w:szCs w:val="22"/>
        </w:rPr>
        <w:t xml:space="preserve">Rotherham’s adopted Core Strategy Policy CS6 ‘Meeting the Housing Requirement’ identifies a total requirement of 14,371 homes between 2013 and 2028. Sites to meet this requirement are now allocated in the adopted Sites and Policies document.  Following a review, a partial update of the Core Strategy is underway which will include housing policies. </w:t>
      </w:r>
      <w:r>
        <w:rPr>
          <w:color w:val="auto"/>
          <w:sz w:val="22"/>
          <w:szCs w:val="22"/>
        </w:rPr>
        <w:t>T</w:t>
      </w:r>
      <w:r w:rsidRPr="00537936">
        <w:rPr>
          <w:color w:val="auto"/>
          <w:sz w:val="22"/>
          <w:szCs w:val="22"/>
        </w:rPr>
        <w:t xml:space="preserve">he update is in its early stages and no new housing target has been set. </w:t>
      </w:r>
      <w:r>
        <w:rPr>
          <w:color w:val="auto"/>
          <w:sz w:val="22"/>
          <w:szCs w:val="22"/>
        </w:rPr>
        <w:t>P</w:t>
      </w:r>
      <w:r w:rsidRPr="00537936">
        <w:rPr>
          <w:color w:val="auto"/>
          <w:sz w:val="22"/>
          <w:szCs w:val="22"/>
        </w:rPr>
        <w:t xml:space="preserve">ending a new target in a revised Core Strategy, the Council is using the figure of </w:t>
      </w:r>
      <w:r w:rsidRPr="00537936">
        <w:rPr>
          <w:color w:val="auto"/>
          <w:sz w:val="22"/>
          <w:szCs w:val="22"/>
        </w:rPr>
        <w:lastRenderedPageBreak/>
        <w:t xml:space="preserve">554 new homes per annum derived from the government standard method for calculating local housing requirements. </w:t>
      </w:r>
    </w:p>
    <w:p w14:paraId="2A9486D0" w14:textId="4BD9996B" w:rsidR="007D2514" w:rsidRDefault="007D2514" w:rsidP="00D73374">
      <w:pPr>
        <w:pStyle w:val="BodyText10"/>
        <w:numPr>
          <w:ilvl w:val="0"/>
          <w:numId w:val="3"/>
        </w:numPr>
        <w:spacing w:line="276" w:lineRule="auto"/>
        <w:rPr>
          <w:color w:val="auto"/>
          <w:sz w:val="22"/>
          <w:szCs w:val="22"/>
        </w:rPr>
      </w:pPr>
      <w:r w:rsidRPr="007D2514">
        <w:rPr>
          <w:color w:val="auto"/>
          <w:sz w:val="22"/>
          <w:szCs w:val="22"/>
        </w:rPr>
        <w:t>The combined Doncaster and Rotherham housing requirement is currently identified as 1</w:t>
      </w:r>
      <w:r w:rsidR="00537936">
        <w:rPr>
          <w:color w:val="auto"/>
          <w:sz w:val="22"/>
          <w:szCs w:val="22"/>
        </w:rPr>
        <w:t>4</w:t>
      </w:r>
      <w:r w:rsidRPr="007D2514">
        <w:rPr>
          <w:color w:val="auto"/>
          <w:sz w:val="22"/>
          <w:szCs w:val="22"/>
        </w:rPr>
        <w:t>7</w:t>
      </w:r>
      <w:r w:rsidR="00537936">
        <w:rPr>
          <w:color w:val="auto"/>
          <w:sz w:val="22"/>
          <w:szCs w:val="22"/>
        </w:rPr>
        <w:t>4</w:t>
      </w:r>
      <w:r w:rsidRPr="007D2514">
        <w:rPr>
          <w:color w:val="auto"/>
          <w:sz w:val="22"/>
          <w:szCs w:val="22"/>
        </w:rPr>
        <w:t xml:space="preserve"> homes per year for both plans.</w:t>
      </w:r>
    </w:p>
    <w:p w14:paraId="43B99AFE" w14:textId="7D1A8EC2" w:rsidR="00BE2D60" w:rsidRPr="007D2514" w:rsidRDefault="0046444B" w:rsidP="00D73374">
      <w:pPr>
        <w:pStyle w:val="BodyText10"/>
        <w:numPr>
          <w:ilvl w:val="0"/>
          <w:numId w:val="3"/>
        </w:numPr>
        <w:spacing w:line="276" w:lineRule="auto"/>
        <w:rPr>
          <w:color w:val="auto"/>
          <w:sz w:val="22"/>
          <w:szCs w:val="22"/>
        </w:rPr>
      </w:pPr>
      <w:r>
        <w:rPr>
          <w:color w:val="auto"/>
          <w:sz w:val="22"/>
          <w:szCs w:val="22"/>
        </w:rPr>
        <w:t>The impacts of the governments new housing proposals will be considered in the 2025 LAA</w:t>
      </w:r>
    </w:p>
    <w:p w14:paraId="1F0490DD" w14:textId="77777777" w:rsidR="007D2514" w:rsidRPr="003A54A2" w:rsidRDefault="003A54A2" w:rsidP="00D73374">
      <w:pPr>
        <w:pStyle w:val="Sub-heading"/>
        <w:spacing w:before="240" w:after="240" w:line="276" w:lineRule="auto"/>
        <w:jc w:val="left"/>
        <w:outlineLvl w:val="1"/>
        <w:rPr>
          <w:color w:val="auto"/>
          <w:sz w:val="24"/>
          <w:szCs w:val="24"/>
        </w:rPr>
      </w:pPr>
      <w:bookmarkStart w:id="76" w:name="_Toc198549821"/>
      <w:r w:rsidRPr="000F1A85">
        <w:rPr>
          <w:color w:val="auto"/>
          <w:sz w:val="24"/>
          <w:szCs w:val="24"/>
        </w:rPr>
        <w:t>Infrastructure Proposals</w:t>
      </w:r>
      <w:bookmarkEnd w:id="76"/>
    </w:p>
    <w:p w14:paraId="0D3623B6" w14:textId="48D6DCED" w:rsidR="00741C4D" w:rsidRPr="00646356" w:rsidRDefault="006940F4" w:rsidP="00D73374">
      <w:pPr>
        <w:pStyle w:val="BodyText10"/>
        <w:numPr>
          <w:ilvl w:val="0"/>
          <w:numId w:val="3"/>
        </w:numPr>
        <w:spacing w:line="276" w:lineRule="auto"/>
        <w:rPr>
          <w:color w:val="auto"/>
          <w:sz w:val="22"/>
          <w:szCs w:val="22"/>
        </w:rPr>
      </w:pPr>
      <w:r w:rsidRPr="00646356">
        <w:rPr>
          <w:color w:val="auto"/>
          <w:sz w:val="22"/>
          <w:szCs w:val="22"/>
        </w:rPr>
        <w:t xml:space="preserve">It is difficult to quantify what impact infrastructure proposals will have on mineral reserves. </w:t>
      </w:r>
      <w:r w:rsidR="003A54A2" w:rsidRPr="00646356">
        <w:rPr>
          <w:color w:val="auto"/>
          <w:sz w:val="22"/>
          <w:szCs w:val="22"/>
        </w:rPr>
        <w:t xml:space="preserve">Full details of the infrastructure development proposals for Doncaster can be found in the </w:t>
      </w:r>
      <w:hyperlink r:id="rId22" w:history="1">
        <w:r w:rsidR="003A54A2" w:rsidRPr="00646356">
          <w:rPr>
            <w:rStyle w:val="Hyperlink"/>
            <w:sz w:val="22"/>
            <w:szCs w:val="22"/>
          </w:rPr>
          <w:t>Doncaster Infrastructure</w:t>
        </w:r>
        <w:r w:rsidR="00D3708D">
          <w:rPr>
            <w:rStyle w:val="Hyperlink"/>
            <w:sz w:val="22"/>
            <w:szCs w:val="22"/>
          </w:rPr>
          <w:t xml:space="preserve"> Strategy</w:t>
        </w:r>
      </w:hyperlink>
      <w:r w:rsidR="003A54A2" w:rsidRPr="00646356">
        <w:rPr>
          <w:color w:val="auto"/>
          <w:sz w:val="22"/>
          <w:szCs w:val="22"/>
        </w:rPr>
        <w:t xml:space="preserve"> (updated in 2019</w:t>
      </w:r>
      <w:r w:rsidR="003A54A2" w:rsidRPr="00995D38">
        <w:rPr>
          <w:color w:val="auto"/>
          <w:sz w:val="22"/>
          <w:szCs w:val="22"/>
        </w:rPr>
        <w:t>).</w:t>
      </w:r>
      <w:r w:rsidRPr="00995D38">
        <w:rPr>
          <w:color w:val="auto"/>
          <w:sz w:val="22"/>
          <w:szCs w:val="22"/>
        </w:rPr>
        <w:t xml:space="preserve"> Details of Rotherham’s infrastructure requirements are set out in Appendix A of the adopted Rothe</w:t>
      </w:r>
      <w:r w:rsidR="0059545A" w:rsidRPr="00995D38">
        <w:rPr>
          <w:color w:val="auto"/>
          <w:sz w:val="22"/>
          <w:szCs w:val="22"/>
        </w:rPr>
        <w:t>rham Core Strategy 2014 and the</w:t>
      </w:r>
      <w:r w:rsidR="00BF1A68" w:rsidRPr="00995D38">
        <w:rPr>
          <w:color w:val="auto"/>
          <w:sz w:val="22"/>
          <w:szCs w:val="22"/>
        </w:rPr>
        <w:t xml:space="preserve"> Infrastructure Delivery Study 2020</w:t>
      </w:r>
      <w:r w:rsidR="0059545A" w:rsidRPr="00995D38">
        <w:rPr>
          <w:color w:val="auto"/>
          <w:sz w:val="22"/>
          <w:szCs w:val="22"/>
        </w:rPr>
        <w:t xml:space="preserve"> update</w:t>
      </w:r>
      <w:r w:rsidR="00BF1A68" w:rsidRPr="00995D38">
        <w:rPr>
          <w:color w:val="auto"/>
          <w:sz w:val="22"/>
          <w:szCs w:val="22"/>
        </w:rPr>
        <w:t>.</w:t>
      </w:r>
      <w:r w:rsidR="00D13461" w:rsidRPr="00646356">
        <w:rPr>
          <w:color w:val="auto"/>
          <w:sz w:val="22"/>
          <w:szCs w:val="22"/>
        </w:rPr>
        <w:t xml:space="preserve"> </w:t>
      </w:r>
      <w:r w:rsidR="00646356" w:rsidRPr="00646356">
        <w:rPr>
          <w:color w:val="auto"/>
          <w:sz w:val="22"/>
          <w:szCs w:val="22"/>
        </w:rPr>
        <w:t>The Doncaster Local Plan</w:t>
      </w:r>
      <w:r w:rsidR="00646356">
        <w:rPr>
          <w:rStyle w:val="FootnoteReference"/>
          <w:color w:val="auto"/>
          <w:sz w:val="22"/>
          <w:szCs w:val="22"/>
        </w:rPr>
        <w:footnoteReference w:id="17"/>
      </w:r>
      <w:r w:rsidR="00646356" w:rsidRPr="00646356">
        <w:rPr>
          <w:color w:val="auto"/>
          <w:sz w:val="22"/>
          <w:szCs w:val="22"/>
        </w:rPr>
        <w:t xml:space="preserve"> contains </w:t>
      </w:r>
      <w:r w:rsidR="00443145">
        <w:rPr>
          <w:color w:val="auto"/>
          <w:sz w:val="22"/>
          <w:szCs w:val="22"/>
        </w:rPr>
        <w:t>177</w:t>
      </w:r>
      <w:r w:rsidR="00646356" w:rsidRPr="00646356">
        <w:rPr>
          <w:color w:val="auto"/>
          <w:sz w:val="22"/>
          <w:szCs w:val="22"/>
        </w:rPr>
        <w:t xml:space="preserve"> housing allocations (</w:t>
      </w:r>
      <w:r w:rsidR="00E36DA2">
        <w:rPr>
          <w:color w:val="auto"/>
          <w:sz w:val="22"/>
          <w:szCs w:val="22"/>
        </w:rPr>
        <w:t xml:space="preserve">77 </w:t>
      </w:r>
      <w:r w:rsidR="00A65441">
        <w:rPr>
          <w:color w:val="auto"/>
          <w:sz w:val="22"/>
          <w:szCs w:val="22"/>
        </w:rPr>
        <w:t xml:space="preserve">are </w:t>
      </w:r>
      <w:r w:rsidR="00E36DA2">
        <w:rPr>
          <w:color w:val="auto"/>
          <w:sz w:val="22"/>
          <w:szCs w:val="22"/>
        </w:rPr>
        <w:t xml:space="preserve">completed, </w:t>
      </w:r>
      <w:r w:rsidR="00862056">
        <w:rPr>
          <w:color w:val="auto"/>
          <w:sz w:val="22"/>
          <w:szCs w:val="22"/>
        </w:rPr>
        <w:t>56</w:t>
      </w:r>
      <w:r w:rsidR="00646356" w:rsidRPr="00646356">
        <w:rPr>
          <w:color w:val="auto"/>
          <w:sz w:val="22"/>
          <w:szCs w:val="22"/>
        </w:rPr>
        <w:t xml:space="preserve"> </w:t>
      </w:r>
      <w:r w:rsidR="00A65441">
        <w:rPr>
          <w:color w:val="auto"/>
          <w:sz w:val="22"/>
          <w:szCs w:val="22"/>
        </w:rPr>
        <w:t>have</w:t>
      </w:r>
      <w:r w:rsidR="00646356" w:rsidRPr="00646356">
        <w:rPr>
          <w:color w:val="auto"/>
          <w:sz w:val="22"/>
          <w:szCs w:val="22"/>
        </w:rPr>
        <w:t xml:space="preserve"> permission, </w:t>
      </w:r>
      <w:r w:rsidR="00862056">
        <w:rPr>
          <w:color w:val="auto"/>
          <w:sz w:val="22"/>
          <w:szCs w:val="22"/>
        </w:rPr>
        <w:t>and 44</w:t>
      </w:r>
      <w:r w:rsidR="00646356" w:rsidRPr="00646356">
        <w:rPr>
          <w:color w:val="auto"/>
          <w:sz w:val="22"/>
          <w:szCs w:val="22"/>
        </w:rPr>
        <w:t xml:space="preserve"> </w:t>
      </w:r>
      <w:r w:rsidR="001A23DB">
        <w:rPr>
          <w:color w:val="auto"/>
          <w:sz w:val="22"/>
          <w:szCs w:val="22"/>
        </w:rPr>
        <w:t xml:space="preserve">are </w:t>
      </w:r>
      <w:r w:rsidR="00646356" w:rsidRPr="00646356">
        <w:rPr>
          <w:color w:val="auto"/>
          <w:sz w:val="22"/>
          <w:szCs w:val="22"/>
        </w:rPr>
        <w:t>without permission) and</w:t>
      </w:r>
      <w:r w:rsidR="00646356">
        <w:rPr>
          <w:color w:val="auto"/>
          <w:sz w:val="22"/>
          <w:szCs w:val="22"/>
        </w:rPr>
        <w:t xml:space="preserve"> 3 potential development sites</w:t>
      </w:r>
      <w:r w:rsidR="000E0EC9">
        <w:rPr>
          <w:color w:val="auto"/>
          <w:sz w:val="22"/>
          <w:szCs w:val="22"/>
        </w:rPr>
        <w:t xml:space="preserve">. </w:t>
      </w:r>
      <w:r w:rsidR="00C05F9B">
        <w:rPr>
          <w:color w:val="auto"/>
          <w:sz w:val="22"/>
          <w:szCs w:val="22"/>
        </w:rPr>
        <w:t xml:space="preserve">There are five </w:t>
      </w:r>
      <w:r w:rsidR="00C05F9B" w:rsidRPr="00C44D4E">
        <w:rPr>
          <w:color w:val="auto"/>
          <w:sz w:val="22"/>
          <w:szCs w:val="22"/>
        </w:rPr>
        <w:t xml:space="preserve">employment </w:t>
      </w:r>
      <w:r w:rsidR="001C3C9E" w:rsidRPr="00C44D4E">
        <w:rPr>
          <w:color w:val="auto"/>
          <w:sz w:val="22"/>
          <w:szCs w:val="22"/>
        </w:rPr>
        <w:t xml:space="preserve">site </w:t>
      </w:r>
      <w:r w:rsidR="00C05F9B" w:rsidRPr="00C44D4E">
        <w:rPr>
          <w:color w:val="auto"/>
          <w:sz w:val="22"/>
          <w:szCs w:val="22"/>
        </w:rPr>
        <w:t xml:space="preserve">allocations ranging from </w:t>
      </w:r>
      <w:r w:rsidR="00315242" w:rsidRPr="00C44D4E">
        <w:rPr>
          <w:color w:val="auto"/>
          <w:sz w:val="22"/>
          <w:szCs w:val="22"/>
        </w:rPr>
        <w:t>8.5Ha to 74Ha</w:t>
      </w:r>
      <w:r w:rsidR="001C3C9E" w:rsidRPr="00C44D4E">
        <w:rPr>
          <w:color w:val="auto"/>
          <w:sz w:val="22"/>
          <w:szCs w:val="22"/>
        </w:rPr>
        <w:t xml:space="preserve"> and one ‘potential’ employment site</w:t>
      </w:r>
      <w:r w:rsidR="00315242" w:rsidRPr="00C44D4E">
        <w:rPr>
          <w:color w:val="auto"/>
          <w:sz w:val="22"/>
          <w:szCs w:val="22"/>
        </w:rPr>
        <w:t xml:space="preserve">. </w:t>
      </w:r>
      <w:r w:rsidR="000E0EC9" w:rsidRPr="00C44D4E">
        <w:rPr>
          <w:color w:val="auto"/>
          <w:sz w:val="22"/>
          <w:szCs w:val="22"/>
        </w:rPr>
        <w:t xml:space="preserve">There are also </w:t>
      </w:r>
      <w:r w:rsidR="00970DEF" w:rsidRPr="00C44D4E">
        <w:rPr>
          <w:color w:val="auto"/>
          <w:sz w:val="22"/>
          <w:szCs w:val="22"/>
        </w:rPr>
        <w:t xml:space="preserve">fifteen </w:t>
      </w:r>
      <w:r w:rsidR="00646356" w:rsidRPr="00C44D4E">
        <w:rPr>
          <w:color w:val="auto"/>
          <w:sz w:val="22"/>
          <w:szCs w:val="22"/>
        </w:rPr>
        <w:t xml:space="preserve">employment allocations </w:t>
      </w:r>
      <w:r w:rsidR="00C44D4E" w:rsidRPr="00C44D4E">
        <w:rPr>
          <w:color w:val="auto"/>
          <w:sz w:val="22"/>
          <w:szCs w:val="22"/>
        </w:rPr>
        <w:t xml:space="preserve">with planning permission </w:t>
      </w:r>
      <w:r w:rsidR="00646356" w:rsidRPr="00C44D4E">
        <w:rPr>
          <w:color w:val="auto"/>
          <w:sz w:val="22"/>
          <w:szCs w:val="22"/>
        </w:rPr>
        <w:t>ra</w:t>
      </w:r>
      <w:r w:rsidR="000E0EC9" w:rsidRPr="00C44D4E">
        <w:rPr>
          <w:color w:val="auto"/>
          <w:sz w:val="22"/>
          <w:szCs w:val="22"/>
        </w:rPr>
        <w:t xml:space="preserve">nging from </w:t>
      </w:r>
      <w:r w:rsidR="00E4578E" w:rsidRPr="00C44D4E">
        <w:rPr>
          <w:color w:val="auto"/>
          <w:sz w:val="22"/>
          <w:szCs w:val="22"/>
        </w:rPr>
        <w:t>2.3</w:t>
      </w:r>
      <w:r w:rsidR="000E0EC9" w:rsidRPr="00C44D4E">
        <w:rPr>
          <w:color w:val="auto"/>
          <w:sz w:val="22"/>
          <w:szCs w:val="22"/>
        </w:rPr>
        <w:t xml:space="preserve">ha to </w:t>
      </w:r>
      <w:r w:rsidR="00E4578E" w:rsidRPr="00C44D4E">
        <w:rPr>
          <w:color w:val="auto"/>
          <w:sz w:val="22"/>
          <w:szCs w:val="22"/>
        </w:rPr>
        <w:t>7</w:t>
      </w:r>
      <w:r w:rsidR="000E0EC9" w:rsidRPr="00C44D4E">
        <w:rPr>
          <w:color w:val="auto"/>
          <w:sz w:val="22"/>
          <w:szCs w:val="22"/>
        </w:rPr>
        <w:t>9 ha</w:t>
      </w:r>
      <w:r w:rsidR="00C44D4E">
        <w:rPr>
          <w:rStyle w:val="FootnoteReference"/>
          <w:color w:val="auto"/>
          <w:sz w:val="22"/>
          <w:szCs w:val="22"/>
        </w:rPr>
        <w:footnoteReference w:id="18"/>
      </w:r>
      <w:r w:rsidR="00646356" w:rsidRPr="00C44D4E">
        <w:rPr>
          <w:color w:val="auto"/>
          <w:sz w:val="22"/>
          <w:szCs w:val="22"/>
        </w:rPr>
        <w:t xml:space="preserve">. </w:t>
      </w:r>
      <w:r w:rsidR="000E0EC9" w:rsidRPr="00C44D4E">
        <w:rPr>
          <w:color w:val="auto"/>
          <w:sz w:val="22"/>
          <w:szCs w:val="22"/>
        </w:rPr>
        <w:t xml:space="preserve">Doncaster </w:t>
      </w:r>
      <w:r w:rsidR="00E60C72" w:rsidRPr="00C44D4E">
        <w:rPr>
          <w:color w:val="auto"/>
          <w:sz w:val="22"/>
          <w:szCs w:val="22"/>
        </w:rPr>
        <w:t>Local Plan</w:t>
      </w:r>
      <w:r w:rsidR="004317E0">
        <w:rPr>
          <w:color w:val="auto"/>
          <w:sz w:val="22"/>
          <w:szCs w:val="22"/>
        </w:rPr>
        <w:t xml:space="preserve"> P</w:t>
      </w:r>
      <w:r w:rsidR="00E60C72" w:rsidRPr="00C44D4E">
        <w:rPr>
          <w:color w:val="auto"/>
          <w:sz w:val="22"/>
          <w:szCs w:val="22"/>
        </w:rPr>
        <w:t>olicy 12 confirms support for infrastructure proposals at 5 locations aro</w:t>
      </w:r>
      <w:r w:rsidR="000E0EC9" w:rsidRPr="00C44D4E">
        <w:rPr>
          <w:color w:val="auto"/>
          <w:sz w:val="22"/>
          <w:szCs w:val="22"/>
        </w:rPr>
        <w:t>und the borough</w:t>
      </w:r>
      <w:r w:rsidR="00D3708D" w:rsidRPr="00C44D4E">
        <w:rPr>
          <w:color w:val="auto"/>
          <w:sz w:val="22"/>
          <w:szCs w:val="22"/>
        </w:rPr>
        <w:t>.</w:t>
      </w:r>
      <w:r w:rsidR="00E60C72">
        <w:rPr>
          <w:color w:val="auto"/>
          <w:sz w:val="22"/>
          <w:szCs w:val="22"/>
        </w:rPr>
        <w:t xml:space="preserve"> </w:t>
      </w:r>
      <w:r w:rsidR="000E0EC9">
        <w:rPr>
          <w:color w:val="auto"/>
          <w:sz w:val="22"/>
          <w:szCs w:val="22"/>
        </w:rPr>
        <w:t>All Local Plan</w:t>
      </w:r>
      <w:r w:rsidR="00646356" w:rsidRPr="00646356">
        <w:rPr>
          <w:color w:val="auto"/>
          <w:sz w:val="22"/>
          <w:szCs w:val="22"/>
        </w:rPr>
        <w:t xml:space="preserve"> allocations</w:t>
      </w:r>
      <w:r w:rsidR="000E0EC9">
        <w:rPr>
          <w:color w:val="auto"/>
          <w:sz w:val="22"/>
          <w:szCs w:val="22"/>
        </w:rPr>
        <w:t xml:space="preserve"> and </w:t>
      </w:r>
      <w:r w:rsidR="00E60C72">
        <w:rPr>
          <w:color w:val="auto"/>
          <w:sz w:val="22"/>
          <w:szCs w:val="22"/>
        </w:rPr>
        <w:t>proposals</w:t>
      </w:r>
      <w:r w:rsidR="00646356" w:rsidRPr="00646356">
        <w:rPr>
          <w:color w:val="auto"/>
          <w:sz w:val="22"/>
          <w:szCs w:val="22"/>
        </w:rPr>
        <w:t xml:space="preserve"> will have </w:t>
      </w:r>
      <w:r w:rsidR="000E0EC9">
        <w:rPr>
          <w:color w:val="auto"/>
          <w:sz w:val="22"/>
          <w:szCs w:val="22"/>
        </w:rPr>
        <w:t xml:space="preserve">an </w:t>
      </w:r>
      <w:r w:rsidR="00646356" w:rsidRPr="00646356">
        <w:rPr>
          <w:color w:val="auto"/>
          <w:sz w:val="22"/>
          <w:szCs w:val="22"/>
        </w:rPr>
        <w:t xml:space="preserve">impact on mineral requirements </w:t>
      </w:r>
      <w:r w:rsidR="00646356">
        <w:rPr>
          <w:color w:val="auto"/>
          <w:sz w:val="22"/>
          <w:szCs w:val="22"/>
        </w:rPr>
        <w:t xml:space="preserve">to a greater or lesser degree </w:t>
      </w:r>
      <w:r w:rsidR="00646356" w:rsidRPr="00646356">
        <w:rPr>
          <w:color w:val="auto"/>
          <w:sz w:val="22"/>
          <w:szCs w:val="22"/>
        </w:rPr>
        <w:t xml:space="preserve">and </w:t>
      </w:r>
      <w:r w:rsidR="00E60C72">
        <w:rPr>
          <w:color w:val="auto"/>
          <w:sz w:val="22"/>
          <w:szCs w:val="22"/>
        </w:rPr>
        <w:t xml:space="preserve">more mineral will be needed to meet </w:t>
      </w:r>
      <w:r w:rsidR="00646356" w:rsidRPr="00646356">
        <w:rPr>
          <w:color w:val="auto"/>
          <w:sz w:val="22"/>
          <w:szCs w:val="22"/>
        </w:rPr>
        <w:t xml:space="preserve">additional </w:t>
      </w:r>
      <w:r w:rsidR="00E60C72">
        <w:rPr>
          <w:color w:val="auto"/>
          <w:sz w:val="22"/>
          <w:szCs w:val="22"/>
        </w:rPr>
        <w:t xml:space="preserve">Local Plan allocations and </w:t>
      </w:r>
      <w:r w:rsidR="00646356" w:rsidRPr="00646356">
        <w:rPr>
          <w:color w:val="auto"/>
          <w:sz w:val="22"/>
          <w:szCs w:val="22"/>
        </w:rPr>
        <w:t>proposals</w:t>
      </w:r>
      <w:r w:rsidR="00A65441">
        <w:rPr>
          <w:color w:val="auto"/>
          <w:sz w:val="22"/>
          <w:szCs w:val="22"/>
        </w:rPr>
        <w:t>.</w:t>
      </w:r>
    </w:p>
    <w:p w14:paraId="7104C426" w14:textId="74D7EB70" w:rsidR="00831AC0" w:rsidRDefault="00831AC0" w:rsidP="00D73374">
      <w:pPr>
        <w:pStyle w:val="Heading1"/>
        <w:spacing w:after="240"/>
        <w:rPr>
          <w:rFonts w:ascii="Arial" w:eastAsia="Times New Roman" w:hAnsi="Arial" w:cs="Arial"/>
          <w:color w:val="auto"/>
          <w:sz w:val="26"/>
          <w:szCs w:val="26"/>
        </w:rPr>
      </w:pPr>
      <w:bookmarkStart w:id="77" w:name="_Toc522792117"/>
      <w:bookmarkStart w:id="78" w:name="_Toc198549822"/>
      <w:r w:rsidRPr="00831AC0">
        <w:rPr>
          <w:rFonts w:ascii="Arial" w:eastAsia="Times New Roman" w:hAnsi="Arial" w:cs="Arial"/>
          <w:color w:val="auto"/>
          <w:sz w:val="26"/>
          <w:szCs w:val="26"/>
        </w:rPr>
        <w:t>Are Adequate Resources Available to Meet Development Proposals</w:t>
      </w:r>
      <w:bookmarkEnd w:id="77"/>
      <w:bookmarkEnd w:id="78"/>
    </w:p>
    <w:p w14:paraId="5EE5C723" w14:textId="1FE81D08" w:rsidR="00B34332" w:rsidRPr="00ED6723" w:rsidRDefault="00954DDF" w:rsidP="00D73374">
      <w:pPr>
        <w:pStyle w:val="BodyText10"/>
        <w:numPr>
          <w:ilvl w:val="0"/>
          <w:numId w:val="3"/>
        </w:numPr>
        <w:spacing w:line="276" w:lineRule="auto"/>
        <w:rPr>
          <w:color w:val="auto"/>
          <w:sz w:val="22"/>
          <w:szCs w:val="22"/>
        </w:rPr>
      </w:pPr>
      <w:r w:rsidRPr="00ED6723">
        <w:rPr>
          <w:color w:val="auto"/>
          <w:sz w:val="22"/>
          <w:szCs w:val="22"/>
        </w:rPr>
        <w:t>The landbanks for crushed rock</w:t>
      </w:r>
      <w:r w:rsidR="009D0902">
        <w:rPr>
          <w:color w:val="auto"/>
          <w:sz w:val="22"/>
          <w:szCs w:val="22"/>
        </w:rPr>
        <w:t xml:space="preserve"> (</w:t>
      </w:r>
      <w:r w:rsidR="00B91D39" w:rsidRPr="00ED6723">
        <w:rPr>
          <w:color w:val="auto"/>
          <w:sz w:val="22"/>
          <w:szCs w:val="22"/>
        </w:rPr>
        <w:t>shared with Rotherham)</w:t>
      </w:r>
      <w:r w:rsidR="005C069E">
        <w:rPr>
          <w:color w:val="auto"/>
          <w:sz w:val="22"/>
          <w:szCs w:val="22"/>
        </w:rPr>
        <w:t xml:space="preserve"> and</w:t>
      </w:r>
      <w:r w:rsidRPr="00ED6723">
        <w:rPr>
          <w:color w:val="auto"/>
          <w:sz w:val="22"/>
          <w:szCs w:val="22"/>
        </w:rPr>
        <w:t xml:space="preserve">, sand and gravel are well above that required by national policy. </w:t>
      </w:r>
      <w:r w:rsidRPr="00D3708D">
        <w:rPr>
          <w:color w:val="auto"/>
          <w:sz w:val="22"/>
          <w:szCs w:val="22"/>
        </w:rPr>
        <w:t xml:space="preserve">See paragraphs </w:t>
      </w:r>
      <w:r w:rsidR="00ED6723" w:rsidRPr="00D3708D">
        <w:rPr>
          <w:color w:val="auto"/>
          <w:sz w:val="22"/>
          <w:szCs w:val="22"/>
        </w:rPr>
        <w:t>1</w:t>
      </w:r>
      <w:r w:rsidR="00D405D5">
        <w:rPr>
          <w:color w:val="auto"/>
          <w:sz w:val="22"/>
          <w:szCs w:val="22"/>
        </w:rPr>
        <w:t>3</w:t>
      </w:r>
      <w:r w:rsidR="00241306">
        <w:rPr>
          <w:color w:val="auto"/>
          <w:sz w:val="22"/>
          <w:szCs w:val="22"/>
        </w:rPr>
        <w:t>, 17</w:t>
      </w:r>
      <w:r w:rsidR="00ED6723" w:rsidRPr="00D3708D">
        <w:rPr>
          <w:color w:val="auto"/>
          <w:sz w:val="22"/>
          <w:szCs w:val="22"/>
        </w:rPr>
        <w:t xml:space="preserve"> and 1</w:t>
      </w:r>
      <w:r w:rsidR="00D3708D" w:rsidRPr="00D3708D">
        <w:rPr>
          <w:color w:val="auto"/>
          <w:sz w:val="22"/>
          <w:szCs w:val="22"/>
        </w:rPr>
        <w:t>8</w:t>
      </w:r>
      <w:r w:rsidR="00DF2827">
        <w:rPr>
          <w:color w:val="auto"/>
          <w:sz w:val="22"/>
          <w:szCs w:val="22"/>
        </w:rPr>
        <w:t>, plus 2 new mineral sites were approved in 2023.</w:t>
      </w:r>
      <w:r w:rsidR="0018601D" w:rsidRPr="00ED6723">
        <w:rPr>
          <w:color w:val="auto"/>
          <w:sz w:val="22"/>
          <w:szCs w:val="22"/>
        </w:rPr>
        <w:t xml:space="preserve"> </w:t>
      </w:r>
      <w:r w:rsidR="00284787" w:rsidRPr="00EF6E47">
        <w:rPr>
          <w:color w:val="auto"/>
          <w:sz w:val="22"/>
          <w:szCs w:val="22"/>
        </w:rPr>
        <w:t xml:space="preserve">Although sites have medium to long term permissions, </w:t>
      </w:r>
      <w:r w:rsidR="00DA71E8">
        <w:rPr>
          <w:color w:val="auto"/>
          <w:sz w:val="22"/>
          <w:szCs w:val="22"/>
        </w:rPr>
        <w:t xml:space="preserve">it should be noted that </w:t>
      </w:r>
      <w:r w:rsidR="00284787" w:rsidRPr="00EF6E47">
        <w:rPr>
          <w:color w:val="auto"/>
          <w:sz w:val="22"/>
          <w:szCs w:val="22"/>
        </w:rPr>
        <w:t>resource availability may limit productive capacity in the future.</w:t>
      </w:r>
    </w:p>
    <w:p w14:paraId="301561C2" w14:textId="2B78F0A3" w:rsidR="0036080E" w:rsidRPr="003A3C10" w:rsidRDefault="00FF78C4" w:rsidP="00D73374">
      <w:pPr>
        <w:pStyle w:val="BodyText10"/>
        <w:numPr>
          <w:ilvl w:val="0"/>
          <w:numId w:val="3"/>
        </w:numPr>
        <w:spacing w:line="276" w:lineRule="auto"/>
        <w:rPr>
          <w:color w:val="auto"/>
          <w:sz w:val="22"/>
          <w:szCs w:val="22"/>
        </w:rPr>
      </w:pPr>
      <w:r>
        <w:rPr>
          <w:color w:val="auto"/>
          <w:sz w:val="22"/>
          <w:szCs w:val="22"/>
        </w:rPr>
        <w:t xml:space="preserve">The </w:t>
      </w:r>
      <w:r w:rsidR="008D12E7" w:rsidRPr="00FF78C4">
        <w:rPr>
          <w:color w:val="auto"/>
          <w:sz w:val="22"/>
          <w:szCs w:val="22"/>
        </w:rPr>
        <w:t>Doncaster Local Pla</w:t>
      </w:r>
      <w:r w:rsidR="007E79D1" w:rsidRPr="00FF78C4">
        <w:rPr>
          <w:color w:val="auto"/>
          <w:sz w:val="22"/>
          <w:szCs w:val="22"/>
        </w:rPr>
        <w:t xml:space="preserve">n </w:t>
      </w:r>
      <w:r w:rsidRPr="00FF78C4">
        <w:rPr>
          <w:color w:val="auto"/>
          <w:sz w:val="22"/>
          <w:szCs w:val="22"/>
        </w:rPr>
        <w:t xml:space="preserve">was adopted by Full Council in September 2021. It identifies a fixed Local Plan annual provision of 0.42Mt per annum for sand and gravel and 2Mt per annum for limestone (crushed rock). </w:t>
      </w:r>
      <w:r w:rsidR="00ED6723">
        <w:rPr>
          <w:color w:val="auto"/>
          <w:sz w:val="22"/>
          <w:szCs w:val="22"/>
        </w:rPr>
        <w:t xml:space="preserve">To deliver Local Plan proposals </w:t>
      </w:r>
      <w:r w:rsidR="00037E80" w:rsidRPr="00FF78C4">
        <w:rPr>
          <w:color w:val="auto"/>
          <w:sz w:val="22"/>
          <w:szCs w:val="22"/>
        </w:rPr>
        <w:t>S</w:t>
      </w:r>
      <w:r>
        <w:rPr>
          <w:color w:val="auto"/>
          <w:sz w:val="22"/>
          <w:szCs w:val="22"/>
        </w:rPr>
        <w:t>outh Yorkshire will</w:t>
      </w:r>
      <w:r w:rsidR="00DF57BA">
        <w:rPr>
          <w:color w:val="auto"/>
          <w:sz w:val="22"/>
          <w:szCs w:val="22"/>
        </w:rPr>
        <w:t xml:space="preserve"> </w:t>
      </w:r>
      <w:r w:rsidR="00037E80" w:rsidRPr="00FF78C4">
        <w:rPr>
          <w:color w:val="auto"/>
          <w:sz w:val="22"/>
          <w:szCs w:val="22"/>
        </w:rPr>
        <w:t xml:space="preserve">be dependent on these </w:t>
      </w:r>
      <w:r w:rsidR="00ED6723">
        <w:rPr>
          <w:color w:val="auto"/>
          <w:sz w:val="22"/>
          <w:szCs w:val="22"/>
        </w:rPr>
        <w:t>re</w:t>
      </w:r>
      <w:r w:rsidR="00037E80" w:rsidRPr="00FF78C4">
        <w:rPr>
          <w:color w:val="auto"/>
          <w:sz w:val="22"/>
          <w:szCs w:val="22"/>
        </w:rPr>
        <w:t xml:space="preserve">sources </w:t>
      </w:r>
      <w:r w:rsidR="00ED6723">
        <w:rPr>
          <w:color w:val="auto"/>
          <w:sz w:val="22"/>
          <w:szCs w:val="22"/>
        </w:rPr>
        <w:t>including</w:t>
      </w:r>
      <w:r w:rsidR="00037E80" w:rsidRPr="00FF78C4">
        <w:rPr>
          <w:color w:val="auto"/>
          <w:sz w:val="22"/>
          <w:szCs w:val="22"/>
        </w:rPr>
        <w:t xml:space="preserve"> </w:t>
      </w:r>
      <w:r w:rsidR="0036080E" w:rsidRPr="00FF78C4">
        <w:rPr>
          <w:color w:val="auto"/>
          <w:sz w:val="22"/>
          <w:szCs w:val="22"/>
        </w:rPr>
        <w:t xml:space="preserve">sand and gravel imports </w:t>
      </w:r>
      <w:r w:rsidR="00ED6723">
        <w:rPr>
          <w:color w:val="auto"/>
          <w:sz w:val="22"/>
          <w:szCs w:val="22"/>
        </w:rPr>
        <w:t>from</w:t>
      </w:r>
      <w:r w:rsidR="00037E80" w:rsidRPr="00FF78C4">
        <w:rPr>
          <w:color w:val="auto"/>
          <w:sz w:val="22"/>
          <w:szCs w:val="22"/>
        </w:rPr>
        <w:t xml:space="preserve"> </w:t>
      </w:r>
      <w:r w:rsidR="0036080E" w:rsidRPr="00FF78C4">
        <w:rPr>
          <w:color w:val="auto"/>
          <w:sz w:val="22"/>
          <w:szCs w:val="22"/>
        </w:rPr>
        <w:t xml:space="preserve">Nottinghamshire, Lincolnshire and </w:t>
      </w:r>
      <w:r w:rsidR="00037E80" w:rsidRPr="00FF78C4">
        <w:rPr>
          <w:color w:val="auto"/>
          <w:sz w:val="22"/>
          <w:szCs w:val="22"/>
        </w:rPr>
        <w:t xml:space="preserve">the </w:t>
      </w:r>
      <w:r w:rsidR="0036080E" w:rsidRPr="00FF78C4">
        <w:rPr>
          <w:color w:val="auto"/>
          <w:sz w:val="22"/>
          <w:szCs w:val="22"/>
        </w:rPr>
        <w:t>East Riding</w:t>
      </w:r>
      <w:r w:rsidR="0036080E" w:rsidRPr="003A3C10">
        <w:rPr>
          <w:color w:val="auto"/>
          <w:sz w:val="22"/>
          <w:szCs w:val="22"/>
        </w:rPr>
        <w:t>.</w:t>
      </w:r>
      <w:r w:rsidR="00BE2D86" w:rsidRPr="003A3C10">
        <w:rPr>
          <w:color w:val="auto"/>
          <w:sz w:val="22"/>
          <w:szCs w:val="22"/>
        </w:rPr>
        <w:t xml:space="preserve"> </w:t>
      </w:r>
      <w:r w:rsidR="007E7D00" w:rsidRPr="003A3C10">
        <w:rPr>
          <w:color w:val="auto"/>
          <w:sz w:val="22"/>
          <w:szCs w:val="22"/>
        </w:rPr>
        <w:t xml:space="preserve">Paragraph 14.45 of the Doncaster Local Plan </w:t>
      </w:r>
      <w:r w:rsidR="007912A5">
        <w:rPr>
          <w:color w:val="auto"/>
          <w:sz w:val="22"/>
          <w:szCs w:val="22"/>
        </w:rPr>
        <w:t>currently</w:t>
      </w:r>
      <w:r w:rsidR="007912A5" w:rsidRPr="003A3C10">
        <w:rPr>
          <w:color w:val="auto"/>
          <w:sz w:val="22"/>
          <w:szCs w:val="22"/>
        </w:rPr>
        <w:t xml:space="preserve"> </w:t>
      </w:r>
      <w:r w:rsidR="007E7D00" w:rsidRPr="003A3C10">
        <w:rPr>
          <w:color w:val="auto"/>
          <w:sz w:val="22"/>
          <w:szCs w:val="22"/>
        </w:rPr>
        <w:t xml:space="preserve">identifies a 27% uplift on previous levels of mineral extraction to meet </w:t>
      </w:r>
      <w:r w:rsidR="00157F49" w:rsidRPr="003A3C10">
        <w:rPr>
          <w:color w:val="auto"/>
          <w:sz w:val="22"/>
          <w:szCs w:val="22"/>
        </w:rPr>
        <w:t xml:space="preserve">South Yorkshire’s Local Plan </w:t>
      </w:r>
      <w:r w:rsidR="007E7D00" w:rsidRPr="003A3C10">
        <w:rPr>
          <w:color w:val="auto"/>
          <w:sz w:val="22"/>
          <w:szCs w:val="22"/>
        </w:rPr>
        <w:t>allocation</w:t>
      </w:r>
      <w:r w:rsidR="003A3C10" w:rsidRPr="003A3C10">
        <w:rPr>
          <w:color w:val="auto"/>
          <w:sz w:val="22"/>
          <w:szCs w:val="22"/>
        </w:rPr>
        <w:t>s</w:t>
      </w:r>
      <w:r w:rsidR="007E7D00" w:rsidRPr="003A3C10">
        <w:rPr>
          <w:color w:val="auto"/>
          <w:sz w:val="22"/>
          <w:szCs w:val="22"/>
        </w:rPr>
        <w:t xml:space="preserve">. </w:t>
      </w:r>
      <w:r w:rsidR="000951D4">
        <w:rPr>
          <w:color w:val="auto"/>
          <w:sz w:val="22"/>
          <w:szCs w:val="22"/>
        </w:rPr>
        <w:t xml:space="preserve">New housing targets will put </w:t>
      </w:r>
      <w:r w:rsidR="009A6A23">
        <w:rPr>
          <w:color w:val="auto"/>
          <w:sz w:val="22"/>
          <w:szCs w:val="22"/>
        </w:rPr>
        <w:t xml:space="preserve">further </w:t>
      </w:r>
      <w:r w:rsidR="000951D4">
        <w:rPr>
          <w:color w:val="auto"/>
          <w:sz w:val="22"/>
          <w:szCs w:val="22"/>
        </w:rPr>
        <w:t>strain on resources</w:t>
      </w:r>
      <w:r w:rsidR="009A6A23">
        <w:rPr>
          <w:color w:val="auto"/>
          <w:sz w:val="22"/>
          <w:szCs w:val="22"/>
        </w:rPr>
        <w:t xml:space="preserve"> and </w:t>
      </w:r>
      <w:r w:rsidR="009A6A23" w:rsidRPr="009A6A23">
        <w:rPr>
          <w:color w:val="auto"/>
          <w:sz w:val="22"/>
          <w:szCs w:val="22"/>
        </w:rPr>
        <w:t xml:space="preserve">shortfalls in concreting sand and gravel in the West and South Yorkshire may lead to increased demand for aggregate worked in </w:t>
      </w:r>
      <w:r w:rsidR="00721997">
        <w:rPr>
          <w:color w:val="auto"/>
          <w:sz w:val="22"/>
          <w:szCs w:val="22"/>
        </w:rPr>
        <w:t xml:space="preserve">the </w:t>
      </w:r>
      <w:r w:rsidR="009A6A23" w:rsidRPr="009A6A23">
        <w:rPr>
          <w:color w:val="auto"/>
          <w:sz w:val="22"/>
          <w:szCs w:val="22"/>
        </w:rPr>
        <w:t>southern part of North Yorkshire impacting on reserves</w:t>
      </w:r>
      <w:r w:rsidR="009A6A23">
        <w:rPr>
          <w:color w:val="auto"/>
          <w:sz w:val="22"/>
          <w:szCs w:val="22"/>
        </w:rPr>
        <w:t xml:space="preserve">. </w:t>
      </w:r>
    </w:p>
    <w:p w14:paraId="2CE47D1E" w14:textId="3272A57F" w:rsidR="00BE2D86" w:rsidRPr="00E0221C" w:rsidRDefault="009F3749" w:rsidP="00D73374">
      <w:pPr>
        <w:pStyle w:val="BodyText10"/>
        <w:numPr>
          <w:ilvl w:val="0"/>
          <w:numId w:val="3"/>
        </w:numPr>
        <w:spacing w:line="276" w:lineRule="auto"/>
        <w:rPr>
          <w:color w:val="auto"/>
          <w:sz w:val="22"/>
          <w:szCs w:val="22"/>
        </w:rPr>
      </w:pPr>
      <w:r w:rsidRPr="003A3C10">
        <w:rPr>
          <w:color w:val="auto"/>
          <w:sz w:val="22"/>
          <w:szCs w:val="22"/>
        </w:rPr>
        <w:t>A separate Local Plan evidence base document ‘Forecasting the Demand for Aggregate</w:t>
      </w:r>
      <w:r w:rsidRPr="00E0221C">
        <w:rPr>
          <w:color w:val="auto"/>
          <w:sz w:val="22"/>
          <w:szCs w:val="22"/>
        </w:rPr>
        <w:t xml:space="preserve"> 2019’</w:t>
      </w:r>
      <w:r w:rsidR="00B323BE" w:rsidRPr="00E0221C">
        <w:rPr>
          <w:rStyle w:val="FootnoteReference"/>
          <w:color w:val="auto"/>
          <w:sz w:val="22"/>
          <w:szCs w:val="22"/>
        </w:rPr>
        <w:footnoteReference w:id="19"/>
      </w:r>
      <w:r w:rsidRPr="00E0221C">
        <w:rPr>
          <w:color w:val="auto"/>
          <w:sz w:val="22"/>
          <w:szCs w:val="22"/>
        </w:rPr>
        <w:t xml:space="preserve"> evidence</w:t>
      </w:r>
      <w:r w:rsidR="00EB00AC">
        <w:rPr>
          <w:color w:val="auto"/>
          <w:sz w:val="22"/>
          <w:szCs w:val="22"/>
        </w:rPr>
        <w:t>d</w:t>
      </w:r>
      <w:r w:rsidRPr="00E0221C">
        <w:rPr>
          <w:color w:val="auto"/>
          <w:sz w:val="22"/>
          <w:szCs w:val="22"/>
        </w:rPr>
        <w:t xml:space="preserve"> </w:t>
      </w:r>
      <w:r w:rsidR="00D477E1">
        <w:rPr>
          <w:color w:val="auto"/>
          <w:sz w:val="22"/>
          <w:szCs w:val="22"/>
        </w:rPr>
        <w:t xml:space="preserve">and </w:t>
      </w:r>
      <w:r w:rsidR="00A907AC">
        <w:rPr>
          <w:color w:val="auto"/>
          <w:sz w:val="22"/>
          <w:szCs w:val="22"/>
        </w:rPr>
        <w:t xml:space="preserve">estimated future </w:t>
      </w:r>
      <w:r w:rsidRPr="00E0221C">
        <w:rPr>
          <w:color w:val="auto"/>
          <w:sz w:val="22"/>
          <w:szCs w:val="22"/>
        </w:rPr>
        <w:t xml:space="preserve">supply requirements. </w:t>
      </w:r>
      <w:r w:rsidR="00B323BE" w:rsidRPr="00E0221C">
        <w:rPr>
          <w:color w:val="auto"/>
          <w:sz w:val="22"/>
          <w:szCs w:val="22"/>
        </w:rPr>
        <w:t xml:space="preserve">It </w:t>
      </w:r>
      <w:r w:rsidR="00701DB0">
        <w:rPr>
          <w:color w:val="auto"/>
          <w:sz w:val="22"/>
          <w:szCs w:val="22"/>
        </w:rPr>
        <w:t xml:space="preserve">also </w:t>
      </w:r>
      <w:r w:rsidR="00B323BE" w:rsidRPr="00E0221C">
        <w:rPr>
          <w:color w:val="auto"/>
          <w:sz w:val="22"/>
          <w:szCs w:val="22"/>
        </w:rPr>
        <w:t>identifie</w:t>
      </w:r>
      <w:r w:rsidR="00701DB0">
        <w:rPr>
          <w:color w:val="auto"/>
          <w:sz w:val="22"/>
          <w:szCs w:val="22"/>
        </w:rPr>
        <w:t>d</w:t>
      </w:r>
      <w:r w:rsidR="00B323BE" w:rsidRPr="00E0221C">
        <w:rPr>
          <w:color w:val="auto"/>
          <w:sz w:val="22"/>
          <w:szCs w:val="22"/>
        </w:rPr>
        <w:t xml:space="preserve"> that </w:t>
      </w:r>
      <w:r w:rsidRPr="00E0221C">
        <w:rPr>
          <w:color w:val="auto"/>
          <w:sz w:val="22"/>
          <w:szCs w:val="22"/>
        </w:rPr>
        <w:lastRenderedPageBreak/>
        <w:t xml:space="preserve">Doncaster produces and exports </w:t>
      </w:r>
      <w:r w:rsidR="00701DB0">
        <w:rPr>
          <w:color w:val="auto"/>
          <w:sz w:val="22"/>
          <w:szCs w:val="22"/>
        </w:rPr>
        <w:t xml:space="preserve">(to varying degrees) </w:t>
      </w:r>
      <w:r w:rsidRPr="00E0221C">
        <w:rPr>
          <w:color w:val="auto"/>
          <w:sz w:val="22"/>
          <w:szCs w:val="22"/>
        </w:rPr>
        <w:t>aggregate to other authorities within the South and West Yorkshire sub-regions</w:t>
      </w:r>
      <w:r w:rsidR="00B323BE" w:rsidRPr="00E0221C">
        <w:rPr>
          <w:color w:val="auto"/>
          <w:sz w:val="22"/>
          <w:szCs w:val="22"/>
        </w:rPr>
        <w:t xml:space="preserve">. </w:t>
      </w:r>
      <w:r w:rsidR="00BE2D86" w:rsidRPr="00E0221C">
        <w:rPr>
          <w:color w:val="auto"/>
          <w:sz w:val="22"/>
          <w:szCs w:val="22"/>
        </w:rPr>
        <w:t xml:space="preserve">A </w:t>
      </w:r>
      <w:r w:rsidR="00871419">
        <w:rPr>
          <w:color w:val="auto"/>
          <w:sz w:val="22"/>
          <w:szCs w:val="22"/>
        </w:rPr>
        <w:t>supplementary</w:t>
      </w:r>
      <w:r w:rsidR="00E0221C">
        <w:rPr>
          <w:color w:val="auto"/>
          <w:sz w:val="22"/>
          <w:szCs w:val="22"/>
        </w:rPr>
        <w:t xml:space="preserve"> </w:t>
      </w:r>
      <w:r w:rsidR="00BE2D86" w:rsidRPr="00E0221C">
        <w:rPr>
          <w:color w:val="auto"/>
          <w:sz w:val="22"/>
          <w:szCs w:val="22"/>
        </w:rPr>
        <w:t xml:space="preserve">update to this document can be found in appendix </w:t>
      </w:r>
      <w:r w:rsidR="00E0221C">
        <w:rPr>
          <w:color w:val="auto"/>
          <w:sz w:val="22"/>
          <w:szCs w:val="22"/>
        </w:rPr>
        <w:t>3</w:t>
      </w:r>
      <w:r w:rsidR="00BE2D86" w:rsidRPr="00E0221C">
        <w:rPr>
          <w:color w:val="auto"/>
          <w:sz w:val="22"/>
          <w:szCs w:val="22"/>
        </w:rPr>
        <w:t xml:space="preserve">. The original </w:t>
      </w:r>
      <w:r w:rsidR="00701DB0">
        <w:rPr>
          <w:color w:val="auto"/>
          <w:sz w:val="22"/>
          <w:szCs w:val="22"/>
        </w:rPr>
        <w:t xml:space="preserve">2019 </w:t>
      </w:r>
      <w:r w:rsidR="00BE2D86" w:rsidRPr="00E0221C">
        <w:rPr>
          <w:color w:val="auto"/>
          <w:sz w:val="22"/>
          <w:szCs w:val="22"/>
        </w:rPr>
        <w:t xml:space="preserve">evidence base paper identifies South Yorkshire will require approximately 3.7Mt of combined sand, gravel and crushed rock aggregate annually to meet </w:t>
      </w:r>
      <w:r w:rsidR="00701DB0">
        <w:rPr>
          <w:color w:val="auto"/>
          <w:sz w:val="22"/>
          <w:szCs w:val="22"/>
        </w:rPr>
        <w:t>their</w:t>
      </w:r>
      <w:r w:rsidR="00BE2D86" w:rsidRPr="00E0221C">
        <w:rPr>
          <w:color w:val="auto"/>
          <w:sz w:val="22"/>
          <w:szCs w:val="22"/>
        </w:rPr>
        <w:t xml:space="preserve"> combined Local Plan proposals. The update reiterates this </w:t>
      </w:r>
      <w:r w:rsidR="00E0221C" w:rsidRPr="00E0221C">
        <w:rPr>
          <w:color w:val="auto"/>
          <w:sz w:val="22"/>
          <w:szCs w:val="22"/>
        </w:rPr>
        <w:t xml:space="preserve">need </w:t>
      </w:r>
      <w:r w:rsidR="00BE2D86" w:rsidRPr="00E0221C">
        <w:rPr>
          <w:color w:val="auto"/>
          <w:sz w:val="22"/>
          <w:szCs w:val="22"/>
        </w:rPr>
        <w:t xml:space="preserve">and identifies approximately 0.9Mt of </w:t>
      </w:r>
      <w:r w:rsidR="006F1F62">
        <w:rPr>
          <w:color w:val="auto"/>
          <w:sz w:val="22"/>
          <w:szCs w:val="22"/>
        </w:rPr>
        <w:t xml:space="preserve">combined </w:t>
      </w:r>
      <w:r w:rsidR="00BE2D86" w:rsidRPr="00E0221C">
        <w:rPr>
          <w:color w:val="auto"/>
          <w:sz w:val="22"/>
          <w:szCs w:val="22"/>
        </w:rPr>
        <w:t xml:space="preserve">aggregate will be required annually to deliver Local Plan housing </w:t>
      </w:r>
      <w:r w:rsidR="00E0221C">
        <w:rPr>
          <w:color w:val="auto"/>
          <w:sz w:val="22"/>
          <w:szCs w:val="22"/>
        </w:rPr>
        <w:t>allocations</w:t>
      </w:r>
      <w:r w:rsidR="00BE2D86" w:rsidRPr="00E0221C">
        <w:rPr>
          <w:color w:val="auto"/>
          <w:sz w:val="22"/>
          <w:szCs w:val="22"/>
        </w:rPr>
        <w:t xml:space="preserve"> for South Yorkshire.</w:t>
      </w:r>
      <w:r w:rsidR="00E0221C" w:rsidRPr="00E0221C">
        <w:rPr>
          <w:color w:val="auto"/>
          <w:sz w:val="22"/>
          <w:szCs w:val="22"/>
        </w:rPr>
        <w:t xml:space="preserve"> Given </w:t>
      </w:r>
      <w:r w:rsidR="00D477E1">
        <w:rPr>
          <w:color w:val="auto"/>
          <w:sz w:val="22"/>
          <w:szCs w:val="22"/>
        </w:rPr>
        <w:t xml:space="preserve">the assumption that </w:t>
      </w:r>
      <w:r w:rsidR="00E0221C" w:rsidRPr="00E0221C">
        <w:rPr>
          <w:color w:val="auto"/>
          <w:sz w:val="22"/>
          <w:szCs w:val="22"/>
        </w:rPr>
        <w:t xml:space="preserve">housing development (on average) makes up around 25% of the combined aggregate consumption, it is </w:t>
      </w:r>
      <w:r w:rsidR="00D477E1" w:rsidRPr="00E0221C">
        <w:rPr>
          <w:color w:val="auto"/>
          <w:sz w:val="22"/>
          <w:szCs w:val="22"/>
        </w:rPr>
        <w:t>presumed</w:t>
      </w:r>
      <w:r w:rsidR="00E0221C" w:rsidRPr="00E0221C">
        <w:rPr>
          <w:color w:val="auto"/>
          <w:sz w:val="22"/>
          <w:szCs w:val="22"/>
        </w:rPr>
        <w:t xml:space="preserve"> </w:t>
      </w:r>
      <w:r w:rsidR="006F1F62">
        <w:rPr>
          <w:color w:val="auto"/>
          <w:sz w:val="22"/>
          <w:szCs w:val="22"/>
        </w:rPr>
        <w:t xml:space="preserve">a further </w:t>
      </w:r>
      <w:r w:rsidR="00E0221C" w:rsidRPr="00E0221C">
        <w:rPr>
          <w:color w:val="auto"/>
          <w:sz w:val="22"/>
          <w:szCs w:val="22"/>
        </w:rPr>
        <w:t>2.7Mt will also be required for additional infrastructure projects</w:t>
      </w:r>
      <w:r w:rsidR="00EB00AC">
        <w:rPr>
          <w:color w:val="auto"/>
          <w:sz w:val="22"/>
          <w:szCs w:val="22"/>
        </w:rPr>
        <w:t>, giving a combined annual aggregate requirement in the region of 3.6Mt.</w:t>
      </w:r>
      <w:r w:rsidR="00E0221C" w:rsidRPr="00E0221C">
        <w:rPr>
          <w:color w:val="auto"/>
          <w:sz w:val="22"/>
          <w:szCs w:val="22"/>
        </w:rPr>
        <w:t xml:space="preserve"> </w:t>
      </w:r>
      <w:r w:rsidR="006F1F62">
        <w:rPr>
          <w:color w:val="auto"/>
          <w:sz w:val="22"/>
          <w:szCs w:val="22"/>
        </w:rPr>
        <w:t>This figure is very similar to the original 2019 assumption.</w:t>
      </w:r>
    </w:p>
    <w:p w14:paraId="452BE858" w14:textId="074071D8" w:rsidR="00701DB0" w:rsidRDefault="00D93A1A" w:rsidP="00D73374">
      <w:pPr>
        <w:pStyle w:val="BodyText10"/>
        <w:numPr>
          <w:ilvl w:val="0"/>
          <w:numId w:val="3"/>
        </w:numPr>
        <w:spacing w:line="276" w:lineRule="auto"/>
        <w:rPr>
          <w:color w:val="auto"/>
          <w:sz w:val="22"/>
          <w:szCs w:val="22"/>
        </w:rPr>
      </w:pPr>
      <w:r>
        <w:rPr>
          <w:color w:val="auto"/>
          <w:sz w:val="22"/>
          <w:szCs w:val="22"/>
        </w:rPr>
        <w:t xml:space="preserve">The </w:t>
      </w:r>
      <w:r w:rsidR="00420462">
        <w:rPr>
          <w:color w:val="auto"/>
          <w:sz w:val="22"/>
          <w:szCs w:val="22"/>
        </w:rPr>
        <w:t xml:space="preserve">update note </w:t>
      </w:r>
      <w:r w:rsidR="00B96732">
        <w:rPr>
          <w:color w:val="auto"/>
          <w:sz w:val="22"/>
          <w:szCs w:val="22"/>
        </w:rPr>
        <w:t>(</w:t>
      </w:r>
      <w:r w:rsidR="00B96732" w:rsidRPr="00E0221C">
        <w:rPr>
          <w:color w:val="auto"/>
          <w:sz w:val="22"/>
          <w:szCs w:val="22"/>
        </w:rPr>
        <w:t xml:space="preserve">appendix </w:t>
      </w:r>
      <w:r w:rsidR="00B96732">
        <w:rPr>
          <w:color w:val="auto"/>
          <w:sz w:val="22"/>
          <w:szCs w:val="22"/>
        </w:rPr>
        <w:t xml:space="preserve">3) </w:t>
      </w:r>
      <w:r w:rsidR="00420462">
        <w:rPr>
          <w:color w:val="auto"/>
          <w:sz w:val="22"/>
          <w:szCs w:val="22"/>
        </w:rPr>
        <w:t>estimates the</w:t>
      </w:r>
      <w:r w:rsidR="009F3749" w:rsidRPr="009D4585">
        <w:rPr>
          <w:color w:val="auto"/>
          <w:sz w:val="22"/>
          <w:szCs w:val="22"/>
        </w:rPr>
        <w:t xml:space="preserve"> West Yorkshire market</w:t>
      </w:r>
      <w:r w:rsidR="00DF5FCE" w:rsidRPr="009D4585">
        <w:rPr>
          <w:color w:val="auto"/>
          <w:sz w:val="22"/>
          <w:szCs w:val="22"/>
        </w:rPr>
        <w:t>,</w:t>
      </w:r>
      <w:r w:rsidR="00E645AD">
        <w:rPr>
          <w:color w:val="auto"/>
          <w:sz w:val="22"/>
          <w:szCs w:val="22"/>
        </w:rPr>
        <w:t xml:space="preserve"> </w:t>
      </w:r>
      <w:r w:rsidR="009F3749" w:rsidRPr="009D4585">
        <w:rPr>
          <w:color w:val="auto"/>
          <w:sz w:val="22"/>
          <w:szCs w:val="22"/>
        </w:rPr>
        <w:t xml:space="preserve">will require approximately </w:t>
      </w:r>
      <w:r w:rsidR="00EB00AC" w:rsidRPr="009D4585">
        <w:rPr>
          <w:color w:val="auto"/>
          <w:sz w:val="22"/>
          <w:szCs w:val="22"/>
        </w:rPr>
        <w:t>4</w:t>
      </w:r>
      <w:r w:rsidR="009F3749" w:rsidRPr="009D4585">
        <w:rPr>
          <w:color w:val="auto"/>
          <w:sz w:val="22"/>
          <w:szCs w:val="22"/>
        </w:rPr>
        <w:t xml:space="preserve">Mt </w:t>
      </w:r>
      <w:r w:rsidR="009D4585" w:rsidRPr="009D4585">
        <w:rPr>
          <w:color w:val="auto"/>
          <w:sz w:val="22"/>
          <w:szCs w:val="22"/>
        </w:rPr>
        <w:t xml:space="preserve">of combined aggregate </w:t>
      </w:r>
      <w:r w:rsidR="009F3749" w:rsidRPr="009D4585">
        <w:rPr>
          <w:color w:val="auto"/>
          <w:sz w:val="22"/>
          <w:szCs w:val="22"/>
        </w:rPr>
        <w:t>per annum to meet Local Plan proposals</w:t>
      </w:r>
      <w:r w:rsidR="009D4585" w:rsidRPr="009D4585">
        <w:rPr>
          <w:color w:val="auto"/>
          <w:sz w:val="22"/>
          <w:szCs w:val="22"/>
        </w:rPr>
        <w:t xml:space="preserve"> and infrastructure development</w:t>
      </w:r>
      <w:r w:rsidR="00E645AD">
        <w:rPr>
          <w:color w:val="auto"/>
          <w:sz w:val="22"/>
          <w:szCs w:val="22"/>
        </w:rPr>
        <w:t xml:space="preserve"> at current rates</w:t>
      </w:r>
      <w:r w:rsidR="009F3749" w:rsidRPr="009D4585">
        <w:rPr>
          <w:color w:val="auto"/>
          <w:sz w:val="22"/>
          <w:szCs w:val="22"/>
        </w:rPr>
        <w:t>.</w:t>
      </w:r>
      <w:r w:rsidR="00B323BE" w:rsidRPr="009D4585">
        <w:rPr>
          <w:color w:val="auto"/>
          <w:sz w:val="22"/>
          <w:szCs w:val="22"/>
        </w:rPr>
        <w:t xml:space="preserve"> </w:t>
      </w:r>
      <w:r w:rsidR="00DF5FCE" w:rsidRPr="009D4585">
        <w:rPr>
          <w:color w:val="auto"/>
          <w:sz w:val="22"/>
          <w:szCs w:val="22"/>
        </w:rPr>
        <w:t>Given mineral operations are a ‘free market economy’ the</w:t>
      </w:r>
      <w:r w:rsidR="009D4585" w:rsidRPr="009D4585">
        <w:rPr>
          <w:color w:val="auto"/>
          <w:sz w:val="22"/>
          <w:szCs w:val="22"/>
        </w:rPr>
        <w:t xml:space="preserve"> </w:t>
      </w:r>
      <w:r w:rsidR="00DF5FCE" w:rsidRPr="009D4585">
        <w:rPr>
          <w:color w:val="auto"/>
          <w:sz w:val="22"/>
          <w:szCs w:val="22"/>
        </w:rPr>
        <w:t>material</w:t>
      </w:r>
      <w:r w:rsidR="009D4585" w:rsidRPr="009D4585">
        <w:rPr>
          <w:color w:val="auto"/>
          <w:sz w:val="22"/>
          <w:szCs w:val="22"/>
        </w:rPr>
        <w:t xml:space="preserve"> goes</w:t>
      </w:r>
      <w:r w:rsidR="00DF5FCE" w:rsidRPr="009D4585">
        <w:rPr>
          <w:color w:val="auto"/>
          <w:sz w:val="22"/>
          <w:szCs w:val="22"/>
        </w:rPr>
        <w:t xml:space="preserve"> to wher</w:t>
      </w:r>
      <w:r w:rsidR="009D4585">
        <w:rPr>
          <w:color w:val="auto"/>
          <w:sz w:val="22"/>
          <w:szCs w:val="22"/>
        </w:rPr>
        <w:t>e</w:t>
      </w:r>
      <w:r w:rsidR="00DF5FCE" w:rsidRPr="009D4585">
        <w:rPr>
          <w:color w:val="auto"/>
          <w:sz w:val="22"/>
          <w:szCs w:val="22"/>
        </w:rPr>
        <w:t xml:space="preserve"> it is needed</w:t>
      </w:r>
      <w:r w:rsidR="009D4585">
        <w:rPr>
          <w:color w:val="auto"/>
          <w:sz w:val="22"/>
          <w:szCs w:val="22"/>
        </w:rPr>
        <w:t xml:space="preserve"> at the best price</w:t>
      </w:r>
      <w:r w:rsidR="00DF5FCE" w:rsidRPr="009D4585">
        <w:rPr>
          <w:color w:val="auto"/>
          <w:sz w:val="22"/>
          <w:szCs w:val="22"/>
        </w:rPr>
        <w:t xml:space="preserve">. </w:t>
      </w:r>
      <w:r w:rsidR="009D4585" w:rsidRPr="009D4585">
        <w:rPr>
          <w:color w:val="auto"/>
          <w:sz w:val="22"/>
          <w:szCs w:val="22"/>
        </w:rPr>
        <w:t>Overall,</w:t>
      </w:r>
      <w:r w:rsidR="00DF5FCE" w:rsidRPr="009D4585">
        <w:rPr>
          <w:color w:val="auto"/>
          <w:sz w:val="22"/>
          <w:szCs w:val="22"/>
        </w:rPr>
        <w:t xml:space="preserve"> however the contribution Doncaster’s operators will make to th</w:t>
      </w:r>
      <w:r w:rsidR="009D4585" w:rsidRPr="009D4585">
        <w:rPr>
          <w:color w:val="auto"/>
          <w:sz w:val="22"/>
          <w:szCs w:val="22"/>
        </w:rPr>
        <w:t>e 4Mt</w:t>
      </w:r>
      <w:r w:rsidR="00DF5FCE" w:rsidRPr="009D4585">
        <w:rPr>
          <w:color w:val="auto"/>
          <w:sz w:val="22"/>
          <w:szCs w:val="22"/>
        </w:rPr>
        <w:t xml:space="preserve"> requirement </w:t>
      </w:r>
      <w:r w:rsidR="00701DB0">
        <w:rPr>
          <w:color w:val="auto"/>
          <w:sz w:val="22"/>
          <w:szCs w:val="22"/>
        </w:rPr>
        <w:t>is expected to</w:t>
      </w:r>
      <w:r w:rsidR="009D4585" w:rsidRPr="009D4585">
        <w:rPr>
          <w:color w:val="auto"/>
          <w:sz w:val="22"/>
          <w:szCs w:val="22"/>
        </w:rPr>
        <w:t xml:space="preserve"> be</w:t>
      </w:r>
      <w:r w:rsidR="00DF5FCE" w:rsidRPr="009D4585">
        <w:rPr>
          <w:color w:val="auto"/>
          <w:sz w:val="22"/>
          <w:szCs w:val="22"/>
        </w:rPr>
        <w:t xml:space="preserve"> minimal. Doncaster operators combined </w:t>
      </w:r>
      <w:r w:rsidR="00701DB0">
        <w:rPr>
          <w:color w:val="auto"/>
          <w:sz w:val="22"/>
          <w:szCs w:val="22"/>
        </w:rPr>
        <w:t xml:space="preserve">average </w:t>
      </w:r>
      <w:r w:rsidR="009D4585" w:rsidRPr="009D4585">
        <w:rPr>
          <w:color w:val="auto"/>
          <w:sz w:val="22"/>
          <w:szCs w:val="22"/>
        </w:rPr>
        <w:t xml:space="preserve">aggregate </w:t>
      </w:r>
      <w:r w:rsidR="00DF5FCE" w:rsidRPr="009D4585">
        <w:rPr>
          <w:color w:val="auto"/>
          <w:sz w:val="22"/>
          <w:szCs w:val="22"/>
        </w:rPr>
        <w:t>production over the last three years is 3.3Mt</w:t>
      </w:r>
      <w:r w:rsidR="00701DB0">
        <w:rPr>
          <w:color w:val="auto"/>
          <w:sz w:val="22"/>
          <w:szCs w:val="22"/>
        </w:rPr>
        <w:t xml:space="preserve"> and h</w:t>
      </w:r>
      <w:r w:rsidR="009D4585">
        <w:rPr>
          <w:color w:val="auto"/>
          <w:sz w:val="22"/>
          <w:szCs w:val="22"/>
        </w:rPr>
        <w:t xml:space="preserve">istoric monitoring shows </w:t>
      </w:r>
      <w:r w:rsidR="009D4585" w:rsidRPr="009D4585">
        <w:rPr>
          <w:color w:val="auto"/>
          <w:sz w:val="22"/>
          <w:szCs w:val="22"/>
        </w:rPr>
        <w:t xml:space="preserve">10 to 20% </w:t>
      </w:r>
      <w:r w:rsidR="009D4585">
        <w:rPr>
          <w:color w:val="auto"/>
          <w:sz w:val="22"/>
          <w:szCs w:val="22"/>
        </w:rPr>
        <w:t>is</w:t>
      </w:r>
      <w:r w:rsidR="009D4585" w:rsidRPr="009D4585">
        <w:rPr>
          <w:color w:val="auto"/>
          <w:sz w:val="22"/>
          <w:szCs w:val="22"/>
        </w:rPr>
        <w:t xml:space="preserve"> exported out of South Yorkshire</w:t>
      </w:r>
      <w:r w:rsidR="00701DB0">
        <w:rPr>
          <w:color w:val="auto"/>
          <w:sz w:val="22"/>
          <w:szCs w:val="22"/>
        </w:rPr>
        <w:t>, with some of this material going to West Yorkshire.</w:t>
      </w:r>
      <w:r w:rsidR="009D4585" w:rsidRPr="009D4585">
        <w:rPr>
          <w:color w:val="auto"/>
          <w:sz w:val="22"/>
          <w:szCs w:val="22"/>
        </w:rPr>
        <w:t xml:space="preserve"> </w:t>
      </w:r>
    </w:p>
    <w:p w14:paraId="19CA7CF1" w14:textId="275FD3D5" w:rsidR="00282D80" w:rsidRDefault="00282D80" w:rsidP="00D73374">
      <w:pPr>
        <w:pStyle w:val="BodyText10"/>
        <w:numPr>
          <w:ilvl w:val="0"/>
          <w:numId w:val="3"/>
        </w:numPr>
        <w:spacing w:line="276" w:lineRule="auto"/>
        <w:rPr>
          <w:color w:val="auto"/>
          <w:sz w:val="22"/>
          <w:szCs w:val="22"/>
        </w:rPr>
      </w:pPr>
      <w:r>
        <w:rPr>
          <w:color w:val="auto"/>
          <w:sz w:val="22"/>
          <w:szCs w:val="22"/>
        </w:rPr>
        <w:t xml:space="preserve">The government’s new housing </w:t>
      </w:r>
      <w:r w:rsidR="00A81362">
        <w:rPr>
          <w:color w:val="auto"/>
          <w:sz w:val="22"/>
          <w:szCs w:val="22"/>
        </w:rPr>
        <w:t>targets are a cause for concern</w:t>
      </w:r>
      <w:r w:rsidR="005954B7">
        <w:rPr>
          <w:color w:val="auto"/>
          <w:sz w:val="22"/>
          <w:szCs w:val="22"/>
        </w:rPr>
        <w:t xml:space="preserve"> from a minerals supply perspective</w:t>
      </w:r>
      <w:r w:rsidR="00A81362">
        <w:rPr>
          <w:color w:val="auto"/>
          <w:sz w:val="22"/>
          <w:szCs w:val="22"/>
        </w:rPr>
        <w:t xml:space="preserve">, </w:t>
      </w:r>
      <w:r w:rsidR="005954B7">
        <w:rPr>
          <w:color w:val="auto"/>
          <w:sz w:val="22"/>
          <w:szCs w:val="22"/>
        </w:rPr>
        <w:t xml:space="preserve">however </w:t>
      </w:r>
      <w:r w:rsidR="00A81362">
        <w:rPr>
          <w:color w:val="auto"/>
          <w:sz w:val="22"/>
          <w:szCs w:val="22"/>
        </w:rPr>
        <w:t>given they are not yet set in policy</w:t>
      </w:r>
      <w:r w:rsidR="00A23130">
        <w:rPr>
          <w:color w:val="auto"/>
          <w:sz w:val="22"/>
          <w:szCs w:val="22"/>
        </w:rPr>
        <w:t>, this will be addressed in the 2025 LAA.</w:t>
      </w:r>
      <w:r w:rsidR="00E570C8">
        <w:rPr>
          <w:color w:val="auto"/>
          <w:sz w:val="22"/>
          <w:szCs w:val="22"/>
        </w:rPr>
        <w:t xml:space="preserve"> </w:t>
      </w:r>
    </w:p>
    <w:p w14:paraId="70240EEB" w14:textId="57E20311" w:rsidR="009F3749" w:rsidRPr="009D4585" w:rsidRDefault="004606E7" w:rsidP="00D73374">
      <w:pPr>
        <w:pStyle w:val="BodyText10"/>
        <w:numPr>
          <w:ilvl w:val="0"/>
          <w:numId w:val="3"/>
        </w:numPr>
        <w:spacing w:line="276" w:lineRule="auto"/>
        <w:rPr>
          <w:color w:val="auto"/>
          <w:sz w:val="22"/>
          <w:szCs w:val="22"/>
        </w:rPr>
      </w:pPr>
      <w:r>
        <w:rPr>
          <w:color w:val="auto"/>
          <w:sz w:val="22"/>
          <w:szCs w:val="22"/>
        </w:rPr>
        <w:t>It</w:t>
      </w:r>
      <w:r w:rsidR="009D4585" w:rsidRPr="009D4585">
        <w:rPr>
          <w:color w:val="auto"/>
          <w:sz w:val="22"/>
          <w:szCs w:val="22"/>
        </w:rPr>
        <w:t xml:space="preserve"> is evident </w:t>
      </w:r>
      <w:r w:rsidR="005433A6">
        <w:rPr>
          <w:color w:val="auto"/>
          <w:sz w:val="22"/>
          <w:szCs w:val="22"/>
        </w:rPr>
        <w:t>Doncaster</w:t>
      </w:r>
      <w:r w:rsidR="009D4585" w:rsidRPr="009D4585">
        <w:rPr>
          <w:color w:val="auto"/>
          <w:sz w:val="22"/>
          <w:szCs w:val="22"/>
        </w:rPr>
        <w:t xml:space="preserve"> </w:t>
      </w:r>
      <w:r w:rsidR="00464822" w:rsidRPr="009D4585">
        <w:rPr>
          <w:color w:val="auto"/>
          <w:sz w:val="22"/>
          <w:szCs w:val="22"/>
        </w:rPr>
        <w:t xml:space="preserve">will </w:t>
      </w:r>
      <w:r w:rsidR="00701DB0">
        <w:rPr>
          <w:color w:val="auto"/>
          <w:sz w:val="22"/>
          <w:szCs w:val="22"/>
        </w:rPr>
        <w:t>continue to produce material</w:t>
      </w:r>
      <w:r w:rsidR="005433A6">
        <w:rPr>
          <w:color w:val="auto"/>
          <w:sz w:val="22"/>
          <w:szCs w:val="22"/>
        </w:rPr>
        <w:t xml:space="preserve"> for Sou</w:t>
      </w:r>
      <w:r w:rsidR="00547E71">
        <w:rPr>
          <w:color w:val="auto"/>
          <w:sz w:val="22"/>
          <w:szCs w:val="22"/>
        </w:rPr>
        <w:t>t</w:t>
      </w:r>
      <w:r w:rsidR="005433A6">
        <w:rPr>
          <w:color w:val="auto"/>
          <w:sz w:val="22"/>
          <w:szCs w:val="22"/>
        </w:rPr>
        <w:t>h and West Yorkshire</w:t>
      </w:r>
      <w:r w:rsidR="00701DB0">
        <w:rPr>
          <w:color w:val="auto"/>
          <w:sz w:val="22"/>
          <w:szCs w:val="22"/>
        </w:rPr>
        <w:t xml:space="preserve"> in the short to medium term, but </w:t>
      </w:r>
      <w:r w:rsidR="00547E71">
        <w:rPr>
          <w:color w:val="auto"/>
          <w:sz w:val="22"/>
          <w:szCs w:val="22"/>
        </w:rPr>
        <w:t xml:space="preserve">Doncaster and Rotherham </w:t>
      </w:r>
      <w:r w:rsidR="00755D5B">
        <w:rPr>
          <w:color w:val="auto"/>
          <w:sz w:val="22"/>
          <w:szCs w:val="22"/>
        </w:rPr>
        <w:t xml:space="preserve">will </w:t>
      </w:r>
      <w:r w:rsidR="002E5A0C">
        <w:rPr>
          <w:color w:val="auto"/>
          <w:sz w:val="22"/>
          <w:szCs w:val="22"/>
        </w:rPr>
        <w:t xml:space="preserve">also </w:t>
      </w:r>
      <w:r w:rsidR="0024092D" w:rsidRPr="009D4585">
        <w:rPr>
          <w:color w:val="auto"/>
          <w:sz w:val="22"/>
          <w:szCs w:val="22"/>
        </w:rPr>
        <w:t>remain</w:t>
      </w:r>
      <w:r w:rsidR="00464822" w:rsidRPr="009D4585">
        <w:rPr>
          <w:color w:val="auto"/>
          <w:sz w:val="22"/>
          <w:szCs w:val="22"/>
        </w:rPr>
        <w:t xml:space="preserve"> dependent on </w:t>
      </w:r>
      <w:r w:rsidR="0024092D" w:rsidRPr="009D4585">
        <w:rPr>
          <w:color w:val="auto"/>
          <w:sz w:val="22"/>
          <w:szCs w:val="22"/>
        </w:rPr>
        <w:t xml:space="preserve">aggregate </w:t>
      </w:r>
      <w:r w:rsidR="00464822" w:rsidRPr="009D4585">
        <w:rPr>
          <w:color w:val="auto"/>
          <w:sz w:val="22"/>
          <w:szCs w:val="22"/>
        </w:rPr>
        <w:t>imports from other areas t</w:t>
      </w:r>
      <w:r w:rsidR="000E0EC9" w:rsidRPr="009D4585">
        <w:rPr>
          <w:color w:val="auto"/>
          <w:sz w:val="22"/>
          <w:szCs w:val="22"/>
        </w:rPr>
        <w:t>o meet development proposals s</w:t>
      </w:r>
      <w:r w:rsidR="00464822" w:rsidRPr="009D4585">
        <w:rPr>
          <w:color w:val="auto"/>
          <w:sz w:val="22"/>
          <w:szCs w:val="22"/>
        </w:rPr>
        <w:t>et out in Local Plans</w:t>
      </w:r>
      <w:r w:rsidR="00B323BE" w:rsidRPr="009D4585">
        <w:rPr>
          <w:color w:val="auto"/>
          <w:sz w:val="22"/>
          <w:szCs w:val="22"/>
        </w:rPr>
        <w:t>.</w:t>
      </w:r>
      <w:r w:rsidR="009D4585" w:rsidRPr="009D4585">
        <w:rPr>
          <w:color w:val="auto"/>
          <w:sz w:val="22"/>
          <w:szCs w:val="22"/>
        </w:rPr>
        <w:t xml:space="preserve"> </w:t>
      </w:r>
      <w:r w:rsidR="00244655">
        <w:rPr>
          <w:color w:val="auto"/>
          <w:sz w:val="22"/>
          <w:szCs w:val="22"/>
        </w:rPr>
        <w:t xml:space="preserve">The potential for uplifting output in </w:t>
      </w:r>
      <w:r w:rsidR="00755D5B">
        <w:rPr>
          <w:color w:val="auto"/>
          <w:sz w:val="22"/>
          <w:szCs w:val="22"/>
        </w:rPr>
        <w:t xml:space="preserve">Doncaster </w:t>
      </w:r>
      <w:r w:rsidR="005050A9">
        <w:rPr>
          <w:color w:val="auto"/>
          <w:sz w:val="22"/>
          <w:szCs w:val="22"/>
        </w:rPr>
        <w:t xml:space="preserve">to </w:t>
      </w:r>
      <w:r w:rsidR="00244655">
        <w:rPr>
          <w:color w:val="auto"/>
          <w:sz w:val="22"/>
          <w:szCs w:val="22"/>
        </w:rPr>
        <w:t>respon</w:t>
      </w:r>
      <w:r w:rsidR="005050A9">
        <w:rPr>
          <w:color w:val="auto"/>
          <w:sz w:val="22"/>
          <w:szCs w:val="22"/>
        </w:rPr>
        <w:t>d</w:t>
      </w:r>
      <w:r w:rsidR="00244655">
        <w:rPr>
          <w:color w:val="auto"/>
          <w:sz w:val="22"/>
          <w:szCs w:val="22"/>
        </w:rPr>
        <w:t xml:space="preserve"> to new housing requirements </w:t>
      </w:r>
      <w:r w:rsidR="00E05C0F">
        <w:rPr>
          <w:color w:val="auto"/>
          <w:sz w:val="22"/>
          <w:szCs w:val="22"/>
        </w:rPr>
        <w:t>is very limited.</w:t>
      </w:r>
    </w:p>
    <w:p w14:paraId="3F54135D" w14:textId="77777777" w:rsidR="00BC59C8" w:rsidRPr="00BC59C8" w:rsidRDefault="00B61B9C" w:rsidP="00D73374">
      <w:pPr>
        <w:pStyle w:val="Sub-heading"/>
        <w:spacing w:before="240" w:after="240" w:line="276" w:lineRule="auto"/>
        <w:jc w:val="left"/>
        <w:outlineLvl w:val="1"/>
        <w:rPr>
          <w:color w:val="auto"/>
          <w:sz w:val="24"/>
          <w:szCs w:val="24"/>
        </w:rPr>
      </w:pPr>
      <w:bookmarkStart w:id="79" w:name="_Toc198549823"/>
      <w:r>
        <w:rPr>
          <w:color w:val="auto"/>
          <w:sz w:val="24"/>
          <w:szCs w:val="24"/>
        </w:rPr>
        <w:t>Local Plan Site Allocations</w:t>
      </w:r>
      <w:r w:rsidR="00BC59C8" w:rsidRPr="00BC59C8">
        <w:rPr>
          <w:color w:val="auto"/>
          <w:sz w:val="24"/>
          <w:szCs w:val="24"/>
        </w:rPr>
        <w:t xml:space="preserve"> (sand, gravel and limestone</w:t>
      </w:r>
      <w:r w:rsidR="00BC59C8">
        <w:rPr>
          <w:color w:val="auto"/>
          <w:sz w:val="24"/>
          <w:szCs w:val="24"/>
        </w:rPr>
        <w:t>)</w:t>
      </w:r>
      <w:bookmarkEnd w:id="79"/>
    </w:p>
    <w:p w14:paraId="17779FFE" w14:textId="2FD79C57" w:rsidR="00ED6723" w:rsidRDefault="00BC59C8" w:rsidP="00D73374">
      <w:pPr>
        <w:pStyle w:val="BodyText10"/>
        <w:numPr>
          <w:ilvl w:val="0"/>
          <w:numId w:val="3"/>
        </w:numPr>
        <w:spacing w:line="276" w:lineRule="auto"/>
        <w:rPr>
          <w:color w:val="auto"/>
          <w:sz w:val="22"/>
          <w:szCs w:val="22"/>
        </w:rPr>
      </w:pPr>
      <w:r w:rsidRPr="00B61B9C">
        <w:rPr>
          <w:color w:val="auto"/>
          <w:sz w:val="22"/>
          <w:szCs w:val="22"/>
        </w:rPr>
        <w:t xml:space="preserve">The </w:t>
      </w:r>
      <w:r w:rsidR="00B61B9C" w:rsidRPr="00B61B9C">
        <w:rPr>
          <w:color w:val="auto"/>
          <w:sz w:val="22"/>
          <w:szCs w:val="22"/>
        </w:rPr>
        <w:t xml:space="preserve">Doncaster </w:t>
      </w:r>
      <w:r w:rsidRPr="00B61B9C">
        <w:rPr>
          <w:color w:val="auto"/>
          <w:sz w:val="22"/>
          <w:szCs w:val="22"/>
        </w:rPr>
        <w:t>Local Plan</w:t>
      </w:r>
      <w:r w:rsidR="00063095" w:rsidRPr="00B61B9C">
        <w:rPr>
          <w:color w:val="auto"/>
          <w:sz w:val="22"/>
          <w:szCs w:val="22"/>
        </w:rPr>
        <w:t xml:space="preserve"> allocates</w:t>
      </w:r>
      <w:r w:rsidRPr="00B61B9C">
        <w:rPr>
          <w:color w:val="auto"/>
          <w:sz w:val="22"/>
          <w:szCs w:val="22"/>
        </w:rPr>
        <w:t xml:space="preserve"> two sand and gravel sites, which will provide an additional 1.9Mt</w:t>
      </w:r>
      <w:r w:rsidRPr="00BC59C8">
        <w:rPr>
          <w:color w:val="auto"/>
          <w:sz w:val="22"/>
          <w:szCs w:val="22"/>
          <w:vertAlign w:val="superscript"/>
        </w:rPr>
        <w:footnoteReference w:id="20"/>
      </w:r>
      <w:r w:rsidRPr="00B61B9C">
        <w:rPr>
          <w:color w:val="auto"/>
          <w:sz w:val="22"/>
          <w:szCs w:val="22"/>
          <w:vertAlign w:val="superscript"/>
        </w:rPr>
        <w:t xml:space="preserve"> </w:t>
      </w:r>
      <w:r w:rsidRPr="00B61B9C">
        <w:rPr>
          <w:color w:val="auto"/>
          <w:sz w:val="22"/>
          <w:szCs w:val="22"/>
        </w:rPr>
        <w:t>of sand and gravel.</w:t>
      </w:r>
      <w:r w:rsidR="00C05ADA">
        <w:rPr>
          <w:color w:val="auto"/>
          <w:sz w:val="22"/>
          <w:szCs w:val="22"/>
        </w:rPr>
        <w:t xml:space="preserve"> </w:t>
      </w:r>
      <w:r w:rsidR="00ED6723">
        <w:rPr>
          <w:color w:val="auto"/>
          <w:sz w:val="22"/>
          <w:szCs w:val="22"/>
        </w:rPr>
        <w:t xml:space="preserve">The </w:t>
      </w:r>
      <w:r w:rsidR="00063095" w:rsidRPr="00B61B9C">
        <w:rPr>
          <w:color w:val="auto"/>
          <w:sz w:val="22"/>
          <w:szCs w:val="22"/>
        </w:rPr>
        <w:t>Local Plan</w:t>
      </w:r>
      <w:r w:rsidR="00ED6723">
        <w:rPr>
          <w:color w:val="auto"/>
          <w:sz w:val="22"/>
          <w:szCs w:val="22"/>
        </w:rPr>
        <w:t xml:space="preserve"> also</w:t>
      </w:r>
      <w:r w:rsidR="00C67536" w:rsidRPr="00B61B9C">
        <w:rPr>
          <w:color w:val="auto"/>
          <w:sz w:val="22"/>
          <w:szCs w:val="22"/>
        </w:rPr>
        <w:t xml:space="preserve"> id</w:t>
      </w:r>
      <w:r w:rsidR="00063095" w:rsidRPr="00B61B9C">
        <w:rPr>
          <w:color w:val="auto"/>
          <w:sz w:val="22"/>
          <w:szCs w:val="22"/>
        </w:rPr>
        <w:t>entifies three sand and gravel ‘Areas of Search’</w:t>
      </w:r>
      <w:r w:rsidR="000E0EC9">
        <w:rPr>
          <w:rStyle w:val="FootnoteReference"/>
          <w:color w:val="auto"/>
          <w:sz w:val="22"/>
          <w:szCs w:val="22"/>
        </w:rPr>
        <w:footnoteReference w:id="21"/>
      </w:r>
      <w:r w:rsidR="00063095" w:rsidRPr="00B61B9C">
        <w:rPr>
          <w:color w:val="auto"/>
          <w:sz w:val="22"/>
          <w:szCs w:val="22"/>
        </w:rPr>
        <w:t>. T</w:t>
      </w:r>
      <w:r w:rsidR="00C67536" w:rsidRPr="00B61B9C">
        <w:rPr>
          <w:color w:val="auto"/>
          <w:sz w:val="22"/>
          <w:szCs w:val="22"/>
        </w:rPr>
        <w:t xml:space="preserve">hese areas are Doncaster’s best options to provide the required quality and quantity of aggregate mineral with the least impact on local amenity and environment. </w:t>
      </w:r>
      <w:r w:rsidR="000D520E" w:rsidRPr="00B61B9C">
        <w:rPr>
          <w:color w:val="auto"/>
          <w:sz w:val="22"/>
          <w:szCs w:val="22"/>
        </w:rPr>
        <w:t>The</w:t>
      </w:r>
      <w:r w:rsidR="00ED6723">
        <w:rPr>
          <w:color w:val="auto"/>
          <w:sz w:val="22"/>
          <w:szCs w:val="22"/>
        </w:rPr>
        <w:t>se areas</w:t>
      </w:r>
      <w:r w:rsidR="00063095" w:rsidRPr="00B61B9C">
        <w:rPr>
          <w:color w:val="auto"/>
          <w:sz w:val="22"/>
          <w:szCs w:val="22"/>
        </w:rPr>
        <w:t xml:space="preserve"> contain mineral</w:t>
      </w:r>
      <w:r w:rsidR="000D520E" w:rsidRPr="00B61B9C">
        <w:rPr>
          <w:color w:val="auto"/>
          <w:sz w:val="22"/>
          <w:szCs w:val="22"/>
        </w:rPr>
        <w:t xml:space="preserve"> </w:t>
      </w:r>
      <w:r w:rsidR="00701DB0" w:rsidRPr="00B61B9C">
        <w:rPr>
          <w:color w:val="auto"/>
          <w:sz w:val="22"/>
          <w:szCs w:val="22"/>
        </w:rPr>
        <w:t>resources,</w:t>
      </w:r>
      <w:r w:rsidR="000D520E" w:rsidRPr="00B61B9C">
        <w:rPr>
          <w:color w:val="auto"/>
          <w:sz w:val="22"/>
          <w:szCs w:val="22"/>
        </w:rPr>
        <w:t xml:space="preserve"> but additional borehole information (p</w:t>
      </w:r>
      <w:r w:rsidR="000E0EC9">
        <w:rPr>
          <w:color w:val="auto"/>
          <w:sz w:val="22"/>
          <w:szCs w:val="22"/>
        </w:rPr>
        <w:t>rovided by mineral operators) will be</w:t>
      </w:r>
      <w:r w:rsidR="000D520E" w:rsidRPr="00B61B9C">
        <w:rPr>
          <w:color w:val="auto"/>
          <w:sz w:val="22"/>
          <w:szCs w:val="22"/>
        </w:rPr>
        <w:t xml:space="preserve"> needed to confirm the level o</w:t>
      </w:r>
      <w:r w:rsidR="00063095" w:rsidRPr="00B61B9C">
        <w:rPr>
          <w:color w:val="auto"/>
          <w:sz w:val="22"/>
          <w:szCs w:val="22"/>
        </w:rPr>
        <w:t>f sh</w:t>
      </w:r>
      <w:r w:rsidR="000E0EC9">
        <w:rPr>
          <w:color w:val="auto"/>
          <w:sz w:val="22"/>
          <w:szCs w:val="22"/>
        </w:rPr>
        <w:t xml:space="preserve">arp sand and gravel as part of </w:t>
      </w:r>
      <w:r w:rsidR="00287BD0">
        <w:rPr>
          <w:color w:val="auto"/>
          <w:sz w:val="22"/>
          <w:szCs w:val="22"/>
        </w:rPr>
        <w:t>the</w:t>
      </w:r>
      <w:r w:rsidR="00063095" w:rsidRPr="00B61B9C">
        <w:rPr>
          <w:color w:val="auto"/>
          <w:sz w:val="22"/>
          <w:szCs w:val="22"/>
        </w:rPr>
        <w:t xml:space="preserve"> p</w:t>
      </w:r>
      <w:r w:rsidR="000E0EC9">
        <w:rPr>
          <w:color w:val="auto"/>
          <w:sz w:val="22"/>
          <w:szCs w:val="22"/>
        </w:rPr>
        <w:t>lanning</w:t>
      </w:r>
      <w:r w:rsidR="00063095" w:rsidRPr="00B61B9C">
        <w:rPr>
          <w:color w:val="auto"/>
          <w:sz w:val="22"/>
          <w:szCs w:val="22"/>
        </w:rPr>
        <w:t xml:space="preserve"> application</w:t>
      </w:r>
      <w:r w:rsidR="000E0EC9">
        <w:rPr>
          <w:color w:val="auto"/>
          <w:sz w:val="22"/>
          <w:szCs w:val="22"/>
        </w:rPr>
        <w:t xml:space="preserve"> process</w:t>
      </w:r>
      <w:r w:rsidR="000D520E" w:rsidRPr="00B61B9C">
        <w:rPr>
          <w:color w:val="auto"/>
          <w:sz w:val="22"/>
          <w:szCs w:val="22"/>
        </w:rPr>
        <w:t xml:space="preserve">. </w:t>
      </w:r>
      <w:r w:rsidR="00063095" w:rsidRPr="00B61B9C">
        <w:rPr>
          <w:color w:val="auto"/>
          <w:sz w:val="22"/>
          <w:szCs w:val="22"/>
        </w:rPr>
        <w:t>No additional sites or areas of search have been allocated for Limestone (crushed rock).</w:t>
      </w:r>
      <w:r w:rsidR="00ED6723">
        <w:rPr>
          <w:color w:val="auto"/>
          <w:sz w:val="22"/>
          <w:szCs w:val="22"/>
        </w:rPr>
        <w:t xml:space="preserve"> </w:t>
      </w:r>
      <w:r w:rsidR="00A7772B">
        <w:rPr>
          <w:color w:val="auto"/>
          <w:sz w:val="22"/>
          <w:szCs w:val="22"/>
        </w:rPr>
        <w:t>Also note</w:t>
      </w:r>
      <w:r w:rsidR="00ED6723">
        <w:rPr>
          <w:color w:val="auto"/>
          <w:sz w:val="22"/>
          <w:szCs w:val="22"/>
        </w:rPr>
        <w:t xml:space="preserve"> one Local Plan allocation </w:t>
      </w:r>
      <w:r w:rsidR="00F33ECD">
        <w:rPr>
          <w:color w:val="auto"/>
          <w:sz w:val="22"/>
          <w:szCs w:val="22"/>
        </w:rPr>
        <w:t xml:space="preserve">(MIN17) </w:t>
      </w:r>
      <w:r w:rsidR="00ED6723">
        <w:rPr>
          <w:color w:val="auto"/>
          <w:sz w:val="22"/>
          <w:szCs w:val="22"/>
        </w:rPr>
        <w:t>Bank End Quarry (</w:t>
      </w:r>
      <w:r w:rsidR="00ED6723" w:rsidRPr="00ED6723">
        <w:rPr>
          <w:color w:val="auto"/>
          <w:sz w:val="22"/>
          <w:szCs w:val="22"/>
        </w:rPr>
        <w:t>20/01219/MINA</w:t>
      </w:r>
      <w:r w:rsidR="00ED6723">
        <w:rPr>
          <w:color w:val="auto"/>
          <w:sz w:val="22"/>
          <w:szCs w:val="22"/>
        </w:rPr>
        <w:t>) was g</w:t>
      </w:r>
      <w:r w:rsidR="00ED6723" w:rsidRPr="00ED6723">
        <w:rPr>
          <w:color w:val="auto"/>
          <w:sz w:val="22"/>
          <w:szCs w:val="22"/>
        </w:rPr>
        <w:t xml:space="preserve">ranted </w:t>
      </w:r>
      <w:r w:rsidR="00ED6723">
        <w:rPr>
          <w:color w:val="auto"/>
          <w:sz w:val="22"/>
          <w:szCs w:val="22"/>
        </w:rPr>
        <w:t xml:space="preserve">permission on 08/12/20, with operations to cease 08/12/29 and restoration to be finalised in </w:t>
      </w:r>
      <w:r w:rsidR="00ED6723" w:rsidRPr="00ED6723">
        <w:rPr>
          <w:color w:val="auto"/>
          <w:sz w:val="22"/>
          <w:szCs w:val="22"/>
        </w:rPr>
        <w:t>2031.</w:t>
      </w:r>
    </w:p>
    <w:p w14:paraId="63419881" w14:textId="77777777" w:rsidR="00063095" w:rsidRPr="00B61B9C" w:rsidRDefault="00B61B9C" w:rsidP="00D73374">
      <w:pPr>
        <w:pStyle w:val="BodyText10"/>
        <w:numPr>
          <w:ilvl w:val="0"/>
          <w:numId w:val="3"/>
        </w:numPr>
        <w:spacing w:line="276" w:lineRule="auto"/>
        <w:rPr>
          <w:color w:val="auto"/>
          <w:sz w:val="22"/>
          <w:szCs w:val="22"/>
        </w:rPr>
      </w:pPr>
      <w:r>
        <w:rPr>
          <w:color w:val="auto"/>
          <w:sz w:val="22"/>
          <w:szCs w:val="22"/>
        </w:rPr>
        <w:t>Rotherham’s Core Strategy does not allocate any mineral sites.</w:t>
      </w:r>
    </w:p>
    <w:p w14:paraId="15A11D69" w14:textId="77777777" w:rsidR="00142398" w:rsidRDefault="00142398" w:rsidP="00D73374">
      <w:pPr>
        <w:pStyle w:val="Heading1"/>
        <w:spacing w:after="240"/>
        <w:rPr>
          <w:rFonts w:ascii="Arial" w:eastAsia="Times New Roman" w:hAnsi="Arial" w:cs="Arial"/>
          <w:color w:val="auto"/>
          <w:sz w:val="26"/>
          <w:szCs w:val="26"/>
        </w:rPr>
      </w:pPr>
      <w:bookmarkStart w:id="80" w:name="_Toc522792131"/>
      <w:bookmarkStart w:id="81" w:name="_Toc198549824"/>
      <w:r w:rsidRPr="00142398">
        <w:rPr>
          <w:rFonts w:ascii="Arial" w:eastAsia="Times New Roman" w:hAnsi="Arial" w:cs="Arial"/>
          <w:color w:val="auto"/>
          <w:sz w:val="26"/>
          <w:szCs w:val="26"/>
        </w:rPr>
        <w:lastRenderedPageBreak/>
        <w:t>Conclusion</w:t>
      </w:r>
      <w:bookmarkEnd w:id="80"/>
      <w:bookmarkEnd w:id="81"/>
    </w:p>
    <w:p w14:paraId="60F1F3E6" w14:textId="06081ACD" w:rsidR="00B954AD" w:rsidRPr="00E0221C" w:rsidRDefault="00B954AD" w:rsidP="00D73374">
      <w:pPr>
        <w:pStyle w:val="BodyText10"/>
        <w:numPr>
          <w:ilvl w:val="0"/>
          <w:numId w:val="3"/>
        </w:numPr>
        <w:spacing w:line="276" w:lineRule="auto"/>
        <w:rPr>
          <w:color w:val="auto"/>
          <w:sz w:val="22"/>
          <w:szCs w:val="22"/>
        </w:rPr>
      </w:pPr>
      <w:r w:rsidRPr="00E0221C">
        <w:rPr>
          <w:color w:val="auto"/>
          <w:sz w:val="22"/>
          <w:szCs w:val="22"/>
        </w:rPr>
        <w:t xml:space="preserve">The NPPF requires that all planning authorities calculate their own landbanks and apportionments (local need) and ensure full use is made of recycled materials where appropriate. It goes on to say the Local Aggregates Assessment is to be based on </w:t>
      </w:r>
      <w:proofErr w:type="gramStart"/>
      <w:r w:rsidRPr="00E0221C">
        <w:rPr>
          <w:color w:val="auto"/>
          <w:sz w:val="22"/>
          <w:szCs w:val="22"/>
        </w:rPr>
        <w:t>10 year</w:t>
      </w:r>
      <w:proofErr w:type="gramEnd"/>
      <w:r w:rsidRPr="00E0221C">
        <w:rPr>
          <w:color w:val="auto"/>
          <w:sz w:val="22"/>
          <w:szCs w:val="22"/>
        </w:rPr>
        <w:t xml:space="preserve"> average sales and other relevant information.  </w:t>
      </w:r>
      <w:r w:rsidR="009D0902" w:rsidRPr="00E0221C">
        <w:rPr>
          <w:color w:val="auto"/>
          <w:sz w:val="22"/>
          <w:szCs w:val="22"/>
        </w:rPr>
        <w:t>The LAA also</w:t>
      </w:r>
      <w:r w:rsidR="006F1F62">
        <w:rPr>
          <w:color w:val="auto"/>
          <w:sz w:val="22"/>
          <w:szCs w:val="22"/>
        </w:rPr>
        <w:t xml:space="preserve"> shows </w:t>
      </w:r>
      <w:r w:rsidR="009D0902" w:rsidRPr="00E0221C">
        <w:rPr>
          <w:color w:val="auto"/>
          <w:sz w:val="22"/>
          <w:szCs w:val="22"/>
        </w:rPr>
        <w:t xml:space="preserve">comparable landbank based on ‘local provision’ as identified in the Doncaster Local Plan. </w:t>
      </w:r>
      <w:r w:rsidRPr="00E0221C">
        <w:rPr>
          <w:color w:val="auto"/>
          <w:sz w:val="22"/>
          <w:szCs w:val="22"/>
        </w:rPr>
        <w:t xml:space="preserve"> </w:t>
      </w:r>
      <w:r w:rsidR="00794809" w:rsidRPr="00E0221C">
        <w:rPr>
          <w:color w:val="auto"/>
          <w:sz w:val="22"/>
          <w:szCs w:val="22"/>
        </w:rPr>
        <w:t>It should be noted that other relevant information including the level of reserve and evidence identifying a depleted sharp sand a gravel resource are also important factors when c</w:t>
      </w:r>
      <w:r w:rsidR="009D0902" w:rsidRPr="00E0221C">
        <w:rPr>
          <w:color w:val="auto"/>
          <w:sz w:val="22"/>
          <w:szCs w:val="22"/>
        </w:rPr>
        <w:t>onsidering Doncaster’s ability to continue to provide mineral</w:t>
      </w:r>
      <w:r w:rsidR="00B63FAE" w:rsidRPr="00E0221C">
        <w:rPr>
          <w:color w:val="auto"/>
          <w:sz w:val="22"/>
          <w:szCs w:val="22"/>
        </w:rPr>
        <w:t>s</w:t>
      </w:r>
      <w:r w:rsidR="00794809" w:rsidRPr="00E0221C">
        <w:rPr>
          <w:color w:val="auto"/>
          <w:sz w:val="22"/>
          <w:szCs w:val="22"/>
        </w:rPr>
        <w:t>.</w:t>
      </w:r>
    </w:p>
    <w:p w14:paraId="3D26A595" w14:textId="27AFE111" w:rsidR="00CD7318" w:rsidRPr="009E00C5" w:rsidRDefault="00832D3E" w:rsidP="00D73374">
      <w:pPr>
        <w:pStyle w:val="BodyText10"/>
        <w:numPr>
          <w:ilvl w:val="0"/>
          <w:numId w:val="3"/>
        </w:numPr>
        <w:spacing w:line="276" w:lineRule="auto"/>
        <w:rPr>
          <w:color w:val="auto"/>
          <w:sz w:val="22"/>
          <w:szCs w:val="22"/>
        </w:rPr>
      </w:pPr>
      <w:r w:rsidRPr="009E00C5">
        <w:rPr>
          <w:color w:val="auto"/>
          <w:sz w:val="22"/>
          <w:szCs w:val="22"/>
        </w:rPr>
        <w:t xml:space="preserve">National policy requires that a landbank of </w:t>
      </w:r>
      <w:r w:rsidR="00B61B9C" w:rsidRPr="009E00C5">
        <w:rPr>
          <w:color w:val="auto"/>
          <w:sz w:val="22"/>
          <w:szCs w:val="22"/>
        </w:rPr>
        <w:t>at least seven</w:t>
      </w:r>
      <w:r w:rsidRPr="009E00C5">
        <w:rPr>
          <w:color w:val="auto"/>
          <w:sz w:val="22"/>
          <w:szCs w:val="22"/>
        </w:rPr>
        <w:t xml:space="preserve"> years for sand and gravel</w:t>
      </w:r>
      <w:r w:rsidR="00B61B9C" w:rsidRPr="009E00C5">
        <w:rPr>
          <w:color w:val="auto"/>
          <w:sz w:val="22"/>
          <w:szCs w:val="22"/>
        </w:rPr>
        <w:t xml:space="preserve"> and ten years for crushed rock</w:t>
      </w:r>
      <w:r w:rsidRPr="009E00C5">
        <w:rPr>
          <w:color w:val="auto"/>
          <w:sz w:val="22"/>
          <w:szCs w:val="22"/>
        </w:rPr>
        <w:t xml:space="preserve"> should be maintained.</w:t>
      </w:r>
      <w:r w:rsidR="00B61B9C" w:rsidRPr="009E00C5">
        <w:rPr>
          <w:color w:val="auto"/>
          <w:sz w:val="22"/>
          <w:szCs w:val="22"/>
        </w:rPr>
        <w:t xml:space="preserve"> Th</w:t>
      </w:r>
      <w:r w:rsidR="000E0EC9" w:rsidRPr="009E00C5">
        <w:rPr>
          <w:color w:val="auto"/>
          <w:sz w:val="22"/>
          <w:szCs w:val="22"/>
        </w:rPr>
        <w:t>e landbank in Doncaster has</w:t>
      </w:r>
      <w:r w:rsidR="00B61B9C" w:rsidRPr="009E00C5">
        <w:rPr>
          <w:color w:val="auto"/>
          <w:sz w:val="22"/>
          <w:szCs w:val="22"/>
        </w:rPr>
        <w:t xml:space="preserve"> been calculated </w:t>
      </w:r>
      <w:r w:rsidR="00ED6723" w:rsidRPr="009E00C5">
        <w:rPr>
          <w:color w:val="auto"/>
          <w:sz w:val="22"/>
          <w:szCs w:val="22"/>
        </w:rPr>
        <w:t xml:space="preserve">on </w:t>
      </w:r>
      <w:proofErr w:type="gramStart"/>
      <w:r w:rsidR="00ED6723" w:rsidRPr="009E00C5">
        <w:rPr>
          <w:color w:val="auto"/>
          <w:sz w:val="22"/>
          <w:szCs w:val="22"/>
        </w:rPr>
        <w:t>ten year</w:t>
      </w:r>
      <w:proofErr w:type="gramEnd"/>
      <w:r w:rsidR="00ED6723" w:rsidRPr="009E00C5">
        <w:rPr>
          <w:color w:val="auto"/>
          <w:sz w:val="22"/>
          <w:szCs w:val="22"/>
        </w:rPr>
        <w:t xml:space="preserve"> average sales, three year average sales and o</w:t>
      </w:r>
      <w:r w:rsidR="00B61B9C" w:rsidRPr="009E00C5">
        <w:rPr>
          <w:color w:val="auto"/>
          <w:sz w:val="22"/>
          <w:szCs w:val="22"/>
        </w:rPr>
        <w:t xml:space="preserve">n a fixed rate of 0.42Mt for sand and gravel and 2Mt for crushed rock. </w:t>
      </w:r>
      <w:r w:rsidR="00ED6723" w:rsidRPr="009E00C5">
        <w:rPr>
          <w:color w:val="auto"/>
          <w:sz w:val="22"/>
          <w:szCs w:val="22"/>
        </w:rPr>
        <w:t xml:space="preserve">The landbanks identified in tables 4 and </w:t>
      </w:r>
      <w:r w:rsidR="009E00C5" w:rsidRPr="009E00C5">
        <w:rPr>
          <w:color w:val="auto"/>
          <w:sz w:val="22"/>
          <w:szCs w:val="22"/>
        </w:rPr>
        <w:t>7</w:t>
      </w:r>
      <w:r w:rsidR="00ED6723" w:rsidRPr="009E00C5">
        <w:rPr>
          <w:color w:val="auto"/>
          <w:sz w:val="22"/>
          <w:szCs w:val="22"/>
        </w:rPr>
        <w:t xml:space="preserve"> show in all scenarios the aggregate</w:t>
      </w:r>
      <w:r w:rsidR="0024092D" w:rsidRPr="009E00C5">
        <w:rPr>
          <w:color w:val="auto"/>
          <w:sz w:val="22"/>
          <w:szCs w:val="22"/>
        </w:rPr>
        <w:t xml:space="preserve"> landbank for </w:t>
      </w:r>
      <w:r w:rsidR="000A6367">
        <w:rPr>
          <w:color w:val="auto"/>
          <w:sz w:val="22"/>
          <w:szCs w:val="22"/>
        </w:rPr>
        <w:t>202</w:t>
      </w:r>
      <w:r w:rsidR="00553CEE">
        <w:rPr>
          <w:color w:val="auto"/>
          <w:sz w:val="22"/>
          <w:szCs w:val="22"/>
        </w:rPr>
        <w:t>3</w:t>
      </w:r>
      <w:r w:rsidR="00ED6723" w:rsidRPr="009E00C5">
        <w:rPr>
          <w:color w:val="auto"/>
          <w:sz w:val="22"/>
          <w:szCs w:val="22"/>
        </w:rPr>
        <w:t xml:space="preserve"> is well above that required by national policy</w:t>
      </w:r>
      <w:r w:rsidR="00785706">
        <w:rPr>
          <w:color w:val="auto"/>
          <w:sz w:val="22"/>
          <w:szCs w:val="22"/>
        </w:rPr>
        <w:t xml:space="preserve">. </w:t>
      </w:r>
      <w:r w:rsidR="001556C8" w:rsidRPr="00B60D41">
        <w:rPr>
          <w:color w:val="auto"/>
          <w:sz w:val="22"/>
          <w:szCs w:val="22"/>
        </w:rPr>
        <w:t>Even though a new consent at Rossington Quarry is included, t</w:t>
      </w:r>
      <w:r w:rsidR="00D7337F" w:rsidRPr="00B60D41">
        <w:rPr>
          <w:color w:val="auto"/>
          <w:sz w:val="22"/>
          <w:szCs w:val="22"/>
        </w:rPr>
        <w:t xml:space="preserve">he sand and gravel reserve has </w:t>
      </w:r>
      <w:r w:rsidR="00F47760" w:rsidRPr="00B60D41">
        <w:rPr>
          <w:color w:val="auto"/>
          <w:sz w:val="22"/>
          <w:szCs w:val="22"/>
        </w:rPr>
        <w:t>reduced by 1Mt</w:t>
      </w:r>
      <w:r w:rsidR="00D7337F" w:rsidRPr="00B60D41">
        <w:rPr>
          <w:color w:val="auto"/>
          <w:sz w:val="22"/>
          <w:szCs w:val="22"/>
        </w:rPr>
        <w:t xml:space="preserve"> due to a re-estimate of </w:t>
      </w:r>
      <w:r w:rsidR="003B6877" w:rsidRPr="00B60D41">
        <w:rPr>
          <w:color w:val="auto"/>
          <w:sz w:val="22"/>
          <w:szCs w:val="22"/>
        </w:rPr>
        <w:t xml:space="preserve">remaining </w:t>
      </w:r>
      <w:r w:rsidR="00D7337F" w:rsidRPr="00B60D41">
        <w:rPr>
          <w:color w:val="auto"/>
          <w:sz w:val="22"/>
          <w:szCs w:val="22"/>
        </w:rPr>
        <w:t>reserves</w:t>
      </w:r>
      <w:r w:rsidR="00F01F1D" w:rsidRPr="00B60D41">
        <w:rPr>
          <w:color w:val="auto"/>
          <w:sz w:val="22"/>
          <w:szCs w:val="22"/>
        </w:rPr>
        <w:t xml:space="preserve"> </w:t>
      </w:r>
      <w:r w:rsidR="00163CB6">
        <w:rPr>
          <w:color w:val="auto"/>
          <w:sz w:val="22"/>
          <w:szCs w:val="22"/>
        </w:rPr>
        <w:t>at</w:t>
      </w:r>
      <w:r w:rsidR="0014629D" w:rsidRPr="00B60D41">
        <w:rPr>
          <w:color w:val="auto"/>
          <w:sz w:val="22"/>
          <w:szCs w:val="22"/>
        </w:rPr>
        <w:t xml:space="preserve"> </w:t>
      </w:r>
      <w:r w:rsidR="001F5EDC">
        <w:rPr>
          <w:color w:val="auto"/>
          <w:sz w:val="22"/>
          <w:szCs w:val="22"/>
        </w:rPr>
        <w:t>North Side o</w:t>
      </w:r>
      <w:r w:rsidR="00163CB6">
        <w:rPr>
          <w:color w:val="auto"/>
          <w:sz w:val="22"/>
          <w:szCs w:val="22"/>
        </w:rPr>
        <w:t xml:space="preserve">f </w:t>
      </w:r>
      <w:r w:rsidR="007E513E">
        <w:rPr>
          <w:color w:val="auto"/>
          <w:sz w:val="22"/>
          <w:szCs w:val="22"/>
        </w:rPr>
        <w:t xml:space="preserve">Bank End </w:t>
      </w:r>
      <w:r w:rsidR="00E31F21">
        <w:rPr>
          <w:color w:val="auto"/>
          <w:sz w:val="22"/>
          <w:szCs w:val="22"/>
        </w:rPr>
        <w:t>R</w:t>
      </w:r>
      <w:r w:rsidR="007E513E">
        <w:rPr>
          <w:color w:val="auto"/>
          <w:sz w:val="22"/>
          <w:szCs w:val="22"/>
        </w:rPr>
        <w:t>oad</w:t>
      </w:r>
      <w:r w:rsidR="0041338E" w:rsidRPr="00B60D41">
        <w:rPr>
          <w:color w:val="auto"/>
          <w:sz w:val="22"/>
          <w:szCs w:val="22"/>
        </w:rPr>
        <w:t xml:space="preserve">, </w:t>
      </w:r>
      <w:proofErr w:type="gramStart"/>
      <w:r w:rsidR="00A97227" w:rsidRPr="00B60D41">
        <w:rPr>
          <w:color w:val="auto"/>
          <w:sz w:val="22"/>
          <w:szCs w:val="22"/>
        </w:rPr>
        <w:t>The</w:t>
      </w:r>
      <w:proofErr w:type="gramEnd"/>
      <w:r w:rsidR="00A97227" w:rsidRPr="00B60D41">
        <w:rPr>
          <w:color w:val="auto"/>
          <w:sz w:val="22"/>
          <w:szCs w:val="22"/>
        </w:rPr>
        <w:t xml:space="preserve"> crushed rock landbank has increased due to </w:t>
      </w:r>
      <w:r w:rsidR="00F47760" w:rsidRPr="00B60D41">
        <w:rPr>
          <w:color w:val="auto"/>
          <w:sz w:val="22"/>
          <w:szCs w:val="22"/>
        </w:rPr>
        <w:t>a new extension consent at Holme Hall Quarry.</w:t>
      </w:r>
      <w:r w:rsidR="00F47760">
        <w:rPr>
          <w:color w:val="auto"/>
          <w:sz w:val="22"/>
          <w:szCs w:val="22"/>
        </w:rPr>
        <w:t xml:space="preserve"> </w:t>
      </w:r>
      <w:r w:rsidR="00C06C19">
        <w:rPr>
          <w:color w:val="auto"/>
          <w:sz w:val="22"/>
          <w:szCs w:val="22"/>
        </w:rPr>
        <w:t xml:space="preserve">Given </w:t>
      </w:r>
      <w:r w:rsidR="003800D6" w:rsidRPr="003800D6">
        <w:rPr>
          <w:bCs/>
          <w:color w:val="auto"/>
          <w:sz w:val="22"/>
          <w:szCs w:val="22"/>
        </w:rPr>
        <w:t xml:space="preserve">6 of the 9 active </w:t>
      </w:r>
      <w:r w:rsidR="003800D6" w:rsidRPr="003800D6">
        <w:rPr>
          <w:b/>
          <w:bCs/>
          <w:color w:val="auto"/>
          <w:sz w:val="22"/>
          <w:szCs w:val="22"/>
        </w:rPr>
        <w:t xml:space="preserve">sand and gravel </w:t>
      </w:r>
      <w:r w:rsidR="003800D6" w:rsidRPr="003800D6">
        <w:rPr>
          <w:bCs/>
          <w:color w:val="auto"/>
          <w:sz w:val="22"/>
          <w:szCs w:val="22"/>
        </w:rPr>
        <w:t xml:space="preserve">sites have permissions that expire before 2030 and for crushed rock </w:t>
      </w:r>
      <w:r w:rsidR="003800D6" w:rsidRPr="003800D6">
        <w:rPr>
          <w:b/>
          <w:bCs/>
          <w:color w:val="auto"/>
          <w:sz w:val="22"/>
          <w:szCs w:val="22"/>
        </w:rPr>
        <w:t xml:space="preserve">the </w:t>
      </w:r>
      <w:r w:rsidR="003800D6" w:rsidRPr="003800D6">
        <w:rPr>
          <w:bCs/>
          <w:color w:val="auto"/>
          <w:sz w:val="22"/>
          <w:szCs w:val="22"/>
        </w:rPr>
        <w:t>production is mainly from one site which has permission until 2035</w:t>
      </w:r>
      <w:r w:rsidR="00C06C19">
        <w:rPr>
          <w:bCs/>
          <w:color w:val="auto"/>
          <w:sz w:val="22"/>
          <w:szCs w:val="22"/>
        </w:rPr>
        <w:t xml:space="preserve"> </w:t>
      </w:r>
      <w:r w:rsidR="00C06C19" w:rsidRPr="00C06C19">
        <w:rPr>
          <w:bCs/>
          <w:color w:val="auto"/>
          <w:sz w:val="22"/>
          <w:szCs w:val="22"/>
        </w:rPr>
        <w:t>new permissions will be required to maintain supply at current rates</w:t>
      </w:r>
      <w:r w:rsidR="003800D6" w:rsidRPr="003800D6">
        <w:rPr>
          <w:b/>
          <w:bCs/>
          <w:color w:val="auto"/>
          <w:sz w:val="22"/>
          <w:szCs w:val="22"/>
        </w:rPr>
        <w:t>.</w:t>
      </w:r>
    </w:p>
    <w:p w14:paraId="0ED19933" w14:textId="16FF33F0" w:rsidR="00136529" w:rsidRDefault="000C4518" w:rsidP="00D73374">
      <w:pPr>
        <w:pStyle w:val="BodyText10"/>
        <w:numPr>
          <w:ilvl w:val="0"/>
          <w:numId w:val="3"/>
        </w:numPr>
        <w:spacing w:line="276" w:lineRule="auto"/>
        <w:rPr>
          <w:color w:val="auto"/>
          <w:sz w:val="22"/>
          <w:szCs w:val="22"/>
        </w:rPr>
      </w:pPr>
      <w:r w:rsidRPr="009E00C5">
        <w:rPr>
          <w:color w:val="auto"/>
          <w:sz w:val="22"/>
          <w:szCs w:val="22"/>
        </w:rPr>
        <w:t xml:space="preserve">In terms of </w:t>
      </w:r>
      <w:r w:rsidR="003055B3">
        <w:rPr>
          <w:color w:val="auto"/>
          <w:sz w:val="22"/>
          <w:szCs w:val="22"/>
        </w:rPr>
        <w:t>201</w:t>
      </w:r>
      <w:r w:rsidR="00897F90">
        <w:rPr>
          <w:color w:val="auto"/>
          <w:sz w:val="22"/>
          <w:szCs w:val="22"/>
        </w:rPr>
        <w:t>7</w:t>
      </w:r>
      <w:r w:rsidR="00391ECE">
        <w:rPr>
          <w:color w:val="auto"/>
          <w:sz w:val="22"/>
          <w:szCs w:val="22"/>
        </w:rPr>
        <w:t xml:space="preserve"> </w:t>
      </w:r>
      <w:r w:rsidR="003055B3">
        <w:rPr>
          <w:color w:val="auto"/>
          <w:sz w:val="22"/>
          <w:szCs w:val="22"/>
        </w:rPr>
        <w:t xml:space="preserve">to 2035 </w:t>
      </w:r>
      <w:r w:rsidRPr="009E00C5">
        <w:rPr>
          <w:color w:val="auto"/>
          <w:sz w:val="22"/>
          <w:szCs w:val="22"/>
        </w:rPr>
        <w:t>Local</w:t>
      </w:r>
      <w:r w:rsidR="00A155CA" w:rsidRPr="009E00C5">
        <w:rPr>
          <w:color w:val="auto"/>
          <w:sz w:val="22"/>
          <w:szCs w:val="22"/>
        </w:rPr>
        <w:t xml:space="preserve"> Plan </w:t>
      </w:r>
      <w:r w:rsidR="00CE3B0A" w:rsidRPr="009E00C5">
        <w:rPr>
          <w:color w:val="auto"/>
          <w:sz w:val="22"/>
          <w:szCs w:val="22"/>
        </w:rPr>
        <w:t>requirements,</w:t>
      </w:r>
      <w:r w:rsidR="00A155CA" w:rsidRPr="009E00C5">
        <w:rPr>
          <w:color w:val="auto"/>
          <w:sz w:val="22"/>
          <w:szCs w:val="22"/>
        </w:rPr>
        <w:t xml:space="preserve"> (Local </w:t>
      </w:r>
      <w:r w:rsidRPr="009E00C5">
        <w:rPr>
          <w:color w:val="auto"/>
          <w:sz w:val="22"/>
          <w:szCs w:val="22"/>
        </w:rPr>
        <w:t>Need</w:t>
      </w:r>
      <w:r w:rsidR="00A155CA" w:rsidRPr="009E00C5">
        <w:rPr>
          <w:color w:val="auto"/>
          <w:sz w:val="22"/>
          <w:szCs w:val="22"/>
        </w:rPr>
        <w:t>)</w:t>
      </w:r>
      <w:r w:rsidRPr="009E00C5">
        <w:rPr>
          <w:color w:val="auto"/>
          <w:sz w:val="22"/>
          <w:szCs w:val="22"/>
        </w:rPr>
        <w:t xml:space="preserve"> Doncaster can provide for</w:t>
      </w:r>
      <w:r w:rsidR="002C382F" w:rsidRPr="009E00C5">
        <w:rPr>
          <w:color w:val="auto"/>
          <w:sz w:val="22"/>
          <w:szCs w:val="22"/>
        </w:rPr>
        <w:t xml:space="preserve"> 8Mt of sand and gravel </w:t>
      </w:r>
      <w:r w:rsidR="00570015" w:rsidRPr="009E00C5">
        <w:rPr>
          <w:color w:val="auto"/>
          <w:sz w:val="22"/>
          <w:szCs w:val="22"/>
        </w:rPr>
        <w:t xml:space="preserve">during the Doncaster Local Plan period. This is </w:t>
      </w:r>
      <w:r w:rsidR="002C382F" w:rsidRPr="009E00C5">
        <w:rPr>
          <w:color w:val="auto"/>
          <w:sz w:val="22"/>
          <w:szCs w:val="22"/>
        </w:rPr>
        <w:t>derived from a 5.6Mt existing reserve, 1.9Mt of a</w:t>
      </w:r>
      <w:r w:rsidR="00B61B9C" w:rsidRPr="009E00C5">
        <w:rPr>
          <w:color w:val="auto"/>
          <w:sz w:val="22"/>
          <w:szCs w:val="22"/>
        </w:rPr>
        <w:t>llocations in the Local Plan</w:t>
      </w:r>
      <w:r w:rsidR="002C382F" w:rsidRPr="009E00C5">
        <w:rPr>
          <w:color w:val="auto"/>
          <w:sz w:val="22"/>
          <w:szCs w:val="22"/>
        </w:rPr>
        <w:t>. Th</w:t>
      </w:r>
      <w:r w:rsidR="00570015" w:rsidRPr="009E00C5">
        <w:rPr>
          <w:color w:val="auto"/>
          <w:sz w:val="22"/>
          <w:szCs w:val="22"/>
        </w:rPr>
        <w:t>is equa</w:t>
      </w:r>
      <w:r w:rsidR="00B61B9C" w:rsidRPr="009E00C5">
        <w:rPr>
          <w:color w:val="auto"/>
          <w:sz w:val="22"/>
          <w:szCs w:val="22"/>
        </w:rPr>
        <w:t>tes to an average output of 0.42</w:t>
      </w:r>
      <w:r w:rsidR="00570015" w:rsidRPr="009E00C5">
        <w:rPr>
          <w:color w:val="auto"/>
          <w:sz w:val="22"/>
          <w:szCs w:val="22"/>
        </w:rPr>
        <w:t>Mt of sand and gravel until the end of the plan period 2035</w:t>
      </w:r>
      <w:r w:rsidR="00574CC4">
        <w:rPr>
          <w:rStyle w:val="FootnoteReference"/>
          <w:color w:val="auto"/>
          <w:sz w:val="22"/>
          <w:szCs w:val="22"/>
        </w:rPr>
        <w:footnoteReference w:id="22"/>
      </w:r>
      <w:r w:rsidR="00B7399E" w:rsidRPr="009E00C5">
        <w:rPr>
          <w:color w:val="auto"/>
          <w:sz w:val="22"/>
          <w:szCs w:val="22"/>
        </w:rPr>
        <w:t xml:space="preserve">. </w:t>
      </w:r>
      <w:r w:rsidR="00616CCB">
        <w:rPr>
          <w:color w:val="auto"/>
          <w:sz w:val="22"/>
          <w:szCs w:val="22"/>
        </w:rPr>
        <w:t>Without additional sites and a</w:t>
      </w:r>
      <w:r w:rsidR="00320072">
        <w:rPr>
          <w:color w:val="auto"/>
          <w:sz w:val="22"/>
          <w:szCs w:val="22"/>
        </w:rPr>
        <w:t xml:space="preserve">t the </w:t>
      </w:r>
      <w:r w:rsidR="003C597D">
        <w:rPr>
          <w:color w:val="auto"/>
          <w:sz w:val="22"/>
          <w:szCs w:val="22"/>
        </w:rPr>
        <w:t>2023</w:t>
      </w:r>
      <w:r w:rsidR="00320072">
        <w:rPr>
          <w:color w:val="auto"/>
          <w:sz w:val="22"/>
          <w:szCs w:val="22"/>
        </w:rPr>
        <w:t xml:space="preserve"> rate of extraction (0.7Mt</w:t>
      </w:r>
      <w:r w:rsidR="00915FF8">
        <w:rPr>
          <w:color w:val="auto"/>
          <w:sz w:val="22"/>
          <w:szCs w:val="22"/>
        </w:rPr>
        <w:t xml:space="preserve"> per annum) the 6.1Mt reserve will be depleted</w:t>
      </w:r>
      <w:r w:rsidR="00F27D4E">
        <w:rPr>
          <w:color w:val="auto"/>
          <w:sz w:val="22"/>
          <w:szCs w:val="22"/>
        </w:rPr>
        <w:t xml:space="preserve"> </w:t>
      </w:r>
      <w:r w:rsidR="00A45EEE">
        <w:rPr>
          <w:color w:val="auto"/>
          <w:sz w:val="22"/>
          <w:szCs w:val="22"/>
        </w:rPr>
        <w:t>in 8.7 years</w:t>
      </w:r>
      <w:r w:rsidR="00C16865">
        <w:rPr>
          <w:color w:val="auto"/>
          <w:sz w:val="22"/>
          <w:szCs w:val="22"/>
        </w:rPr>
        <w:t xml:space="preserve"> (203</w:t>
      </w:r>
      <w:r w:rsidR="00A727DC">
        <w:rPr>
          <w:color w:val="auto"/>
          <w:sz w:val="22"/>
          <w:szCs w:val="22"/>
        </w:rPr>
        <w:t>2/33</w:t>
      </w:r>
      <w:r w:rsidR="00C16865">
        <w:rPr>
          <w:color w:val="auto"/>
          <w:sz w:val="22"/>
          <w:szCs w:val="22"/>
        </w:rPr>
        <w:t>)</w:t>
      </w:r>
      <w:r w:rsidR="00A45EEE">
        <w:rPr>
          <w:color w:val="auto"/>
          <w:sz w:val="22"/>
          <w:szCs w:val="22"/>
        </w:rPr>
        <w:t>.</w:t>
      </w:r>
    </w:p>
    <w:p w14:paraId="6D8A5434" w14:textId="6F743B98" w:rsidR="00AA5807" w:rsidRDefault="00CE3B0A" w:rsidP="00D73374">
      <w:pPr>
        <w:pStyle w:val="BodyText10"/>
        <w:numPr>
          <w:ilvl w:val="0"/>
          <w:numId w:val="3"/>
        </w:numPr>
        <w:spacing w:line="276" w:lineRule="auto"/>
        <w:rPr>
          <w:color w:val="auto"/>
          <w:sz w:val="22"/>
          <w:szCs w:val="22"/>
        </w:rPr>
      </w:pPr>
      <w:r w:rsidRPr="009E00C5">
        <w:rPr>
          <w:color w:val="auto"/>
          <w:sz w:val="22"/>
          <w:szCs w:val="22"/>
        </w:rPr>
        <w:t xml:space="preserve">In terms of crushed </w:t>
      </w:r>
      <w:r w:rsidR="00A92D7B" w:rsidRPr="009E00C5">
        <w:rPr>
          <w:color w:val="auto"/>
          <w:sz w:val="22"/>
          <w:szCs w:val="22"/>
        </w:rPr>
        <w:t>rock,</w:t>
      </w:r>
      <w:r w:rsidRPr="009E00C5">
        <w:rPr>
          <w:color w:val="auto"/>
          <w:sz w:val="22"/>
          <w:szCs w:val="22"/>
        </w:rPr>
        <w:t xml:space="preserve"> </w:t>
      </w:r>
      <w:r w:rsidR="00B22DB1" w:rsidRPr="009E00C5">
        <w:rPr>
          <w:color w:val="auto"/>
          <w:sz w:val="22"/>
          <w:szCs w:val="22"/>
        </w:rPr>
        <w:t xml:space="preserve">the </w:t>
      </w:r>
      <w:r w:rsidRPr="009E00C5">
        <w:rPr>
          <w:color w:val="auto"/>
          <w:sz w:val="22"/>
          <w:szCs w:val="22"/>
        </w:rPr>
        <w:t xml:space="preserve">Doncaster Local Plan requirement will equate to approximately 2Mt per annum. </w:t>
      </w:r>
      <w:r w:rsidR="00B94F9A">
        <w:rPr>
          <w:color w:val="auto"/>
          <w:sz w:val="22"/>
          <w:szCs w:val="22"/>
        </w:rPr>
        <w:t xml:space="preserve">At the </w:t>
      </w:r>
      <w:r w:rsidR="00BE611B">
        <w:rPr>
          <w:color w:val="auto"/>
          <w:sz w:val="22"/>
          <w:szCs w:val="22"/>
        </w:rPr>
        <w:t>2023</w:t>
      </w:r>
      <w:r w:rsidR="00B94F9A">
        <w:rPr>
          <w:color w:val="auto"/>
          <w:sz w:val="22"/>
          <w:szCs w:val="22"/>
        </w:rPr>
        <w:t xml:space="preserve"> rate of extraction (2.4Mt) the current </w:t>
      </w:r>
      <w:r w:rsidR="003131C5">
        <w:rPr>
          <w:color w:val="auto"/>
          <w:sz w:val="22"/>
          <w:szCs w:val="22"/>
        </w:rPr>
        <w:t xml:space="preserve">reserve will last </w:t>
      </w:r>
      <w:r w:rsidR="00CB3AF6">
        <w:rPr>
          <w:color w:val="auto"/>
          <w:sz w:val="22"/>
          <w:szCs w:val="22"/>
        </w:rPr>
        <w:t xml:space="preserve">nearly 26 years. </w:t>
      </w:r>
      <w:r w:rsidR="00DA25E5">
        <w:rPr>
          <w:color w:val="auto"/>
          <w:sz w:val="22"/>
          <w:szCs w:val="22"/>
        </w:rPr>
        <w:t xml:space="preserve">It should be noted however a large part of the reserve is locked up within </w:t>
      </w:r>
      <w:r w:rsidR="008013C6">
        <w:rPr>
          <w:color w:val="auto"/>
          <w:sz w:val="22"/>
          <w:szCs w:val="22"/>
        </w:rPr>
        <w:t>two main sites, one of which does not currently produce aggregate</w:t>
      </w:r>
      <w:r w:rsidR="00E229ED">
        <w:rPr>
          <w:color w:val="auto"/>
          <w:sz w:val="22"/>
          <w:szCs w:val="22"/>
        </w:rPr>
        <w:t>, but only dimension stone</w:t>
      </w:r>
      <w:r w:rsidR="005559A5">
        <w:rPr>
          <w:color w:val="auto"/>
          <w:sz w:val="22"/>
          <w:szCs w:val="22"/>
        </w:rPr>
        <w:t xml:space="preserve"> </w:t>
      </w:r>
      <w:r w:rsidR="006E63B6">
        <w:rPr>
          <w:color w:val="auto"/>
          <w:sz w:val="22"/>
          <w:szCs w:val="22"/>
        </w:rPr>
        <w:t xml:space="preserve">and the </w:t>
      </w:r>
      <w:r w:rsidR="002B7E65">
        <w:rPr>
          <w:color w:val="auto"/>
          <w:sz w:val="22"/>
          <w:szCs w:val="22"/>
        </w:rPr>
        <w:t xml:space="preserve">other </w:t>
      </w:r>
      <w:r w:rsidR="00345D08">
        <w:rPr>
          <w:color w:val="auto"/>
          <w:sz w:val="22"/>
          <w:szCs w:val="22"/>
        </w:rPr>
        <w:t>site</w:t>
      </w:r>
      <w:r w:rsidR="00BE148F">
        <w:rPr>
          <w:color w:val="auto"/>
          <w:sz w:val="22"/>
          <w:szCs w:val="22"/>
        </w:rPr>
        <w:t>,</w:t>
      </w:r>
      <w:r w:rsidR="00345D08">
        <w:rPr>
          <w:color w:val="auto"/>
          <w:sz w:val="22"/>
          <w:szCs w:val="22"/>
        </w:rPr>
        <w:t xml:space="preserve"> </w:t>
      </w:r>
      <w:r w:rsidR="006E63B6">
        <w:rPr>
          <w:color w:val="auto"/>
          <w:sz w:val="22"/>
          <w:szCs w:val="22"/>
        </w:rPr>
        <w:t xml:space="preserve">Holme Hall quarry </w:t>
      </w:r>
      <w:r w:rsidR="00920506">
        <w:rPr>
          <w:color w:val="auto"/>
          <w:sz w:val="22"/>
          <w:szCs w:val="22"/>
        </w:rPr>
        <w:t xml:space="preserve">has </w:t>
      </w:r>
      <w:r w:rsidR="006E63B6">
        <w:rPr>
          <w:color w:val="auto"/>
          <w:sz w:val="22"/>
          <w:szCs w:val="22"/>
        </w:rPr>
        <w:t>permission to 2035</w:t>
      </w:r>
      <w:r w:rsidR="008013C6">
        <w:rPr>
          <w:color w:val="auto"/>
          <w:sz w:val="22"/>
          <w:szCs w:val="22"/>
        </w:rPr>
        <w:t>.</w:t>
      </w:r>
    </w:p>
    <w:p w14:paraId="1D4966D8" w14:textId="79B1763D" w:rsidR="00862694" w:rsidRPr="001110A6" w:rsidRDefault="009E00C5" w:rsidP="00174B5E">
      <w:pPr>
        <w:pStyle w:val="BodyText10"/>
        <w:numPr>
          <w:ilvl w:val="0"/>
          <w:numId w:val="3"/>
        </w:numPr>
        <w:spacing w:line="276" w:lineRule="auto"/>
        <w:rPr>
          <w:color w:val="auto"/>
          <w:sz w:val="22"/>
          <w:szCs w:val="22"/>
        </w:rPr>
      </w:pPr>
      <w:r w:rsidRPr="001110A6">
        <w:rPr>
          <w:color w:val="auto"/>
          <w:sz w:val="22"/>
          <w:szCs w:val="22"/>
        </w:rPr>
        <w:t xml:space="preserve">To deliver annual Local Plan allocations and infrastructure projects in South Yorkshire approximately 3.6 to 3.7Mt of combined aggregate </w:t>
      </w:r>
      <w:r w:rsidR="002875FE" w:rsidRPr="001110A6">
        <w:rPr>
          <w:color w:val="auto"/>
          <w:sz w:val="22"/>
          <w:szCs w:val="22"/>
        </w:rPr>
        <w:t>is</w:t>
      </w:r>
      <w:r w:rsidRPr="001110A6">
        <w:rPr>
          <w:color w:val="auto"/>
          <w:sz w:val="22"/>
          <w:szCs w:val="22"/>
        </w:rPr>
        <w:t xml:space="preserve"> required</w:t>
      </w:r>
      <w:r w:rsidR="00047313" w:rsidRPr="001110A6">
        <w:rPr>
          <w:color w:val="auto"/>
          <w:sz w:val="22"/>
          <w:szCs w:val="22"/>
        </w:rPr>
        <w:t xml:space="preserve"> annually</w:t>
      </w:r>
      <w:r w:rsidRPr="001110A6">
        <w:rPr>
          <w:color w:val="auto"/>
          <w:sz w:val="22"/>
          <w:szCs w:val="22"/>
        </w:rPr>
        <w:t xml:space="preserve">. This makes South Yorkshire </w:t>
      </w:r>
      <w:r w:rsidR="002875FE" w:rsidRPr="001110A6">
        <w:rPr>
          <w:color w:val="auto"/>
          <w:sz w:val="22"/>
          <w:szCs w:val="22"/>
        </w:rPr>
        <w:t xml:space="preserve">very </w:t>
      </w:r>
      <w:r w:rsidRPr="001110A6">
        <w:rPr>
          <w:color w:val="auto"/>
          <w:sz w:val="22"/>
          <w:szCs w:val="22"/>
        </w:rPr>
        <w:t>dependent on aggregate imports as well as locally sourced material.</w:t>
      </w:r>
      <w:r w:rsidR="00E24AA1" w:rsidRPr="001110A6">
        <w:rPr>
          <w:color w:val="auto"/>
          <w:sz w:val="22"/>
          <w:szCs w:val="22"/>
        </w:rPr>
        <w:t xml:space="preserve"> </w:t>
      </w:r>
      <w:r w:rsidR="00CF773C" w:rsidRPr="001110A6">
        <w:rPr>
          <w:color w:val="auto"/>
          <w:sz w:val="22"/>
          <w:szCs w:val="22"/>
        </w:rPr>
        <w:t xml:space="preserve">Doncaster and Rotherham’s </w:t>
      </w:r>
      <w:r w:rsidR="00921256" w:rsidRPr="001110A6">
        <w:rPr>
          <w:color w:val="auto"/>
          <w:sz w:val="22"/>
          <w:szCs w:val="22"/>
        </w:rPr>
        <w:t xml:space="preserve">Local Plan </w:t>
      </w:r>
      <w:r w:rsidR="00276486" w:rsidRPr="001110A6">
        <w:rPr>
          <w:color w:val="auto"/>
          <w:sz w:val="22"/>
          <w:szCs w:val="22"/>
        </w:rPr>
        <w:t xml:space="preserve">(allocation and </w:t>
      </w:r>
      <w:proofErr w:type="gramStart"/>
      <w:r w:rsidR="00276486" w:rsidRPr="001110A6">
        <w:rPr>
          <w:color w:val="auto"/>
          <w:sz w:val="22"/>
          <w:szCs w:val="22"/>
        </w:rPr>
        <w:t>infrastructure )</w:t>
      </w:r>
      <w:proofErr w:type="gramEnd"/>
      <w:r w:rsidR="001110A6" w:rsidRPr="001110A6">
        <w:rPr>
          <w:color w:val="auto"/>
          <w:sz w:val="22"/>
          <w:szCs w:val="22"/>
        </w:rPr>
        <w:t xml:space="preserve"> </w:t>
      </w:r>
      <w:r w:rsidR="001F4F72" w:rsidRPr="001110A6">
        <w:rPr>
          <w:color w:val="auto"/>
          <w:sz w:val="22"/>
          <w:szCs w:val="22"/>
        </w:rPr>
        <w:t xml:space="preserve">aggregate </w:t>
      </w:r>
      <w:r w:rsidR="00921256" w:rsidRPr="001110A6">
        <w:rPr>
          <w:color w:val="auto"/>
          <w:sz w:val="22"/>
          <w:szCs w:val="22"/>
        </w:rPr>
        <w:t>requirement</w:t>
      </w:r>
      <w:r w:rsidR="00675531" w:rsidRPr="001110A6">
        <w:rPr>
          <w:color w:val="auto"/>
          <w:sz w:val="22"/>
          <w:szCs w:val="22"/>
        </w:rPr>
        <w:t xml:space="preserve"> and </w:t>
      </w:r>
      <w:r w:rsidR="00921256" w:rsidRPr="001110A6">
        <w:rPr>
          <w:color w:val="auto"/>
          <w:sz w:val="22"/>
          <w:szCs w:val="22"/>
        </w:rPr>
        <w:t xml:space="preserve">is in the region of </w:t>
      </w:r>
      <w:r w:rsidR="00BA2636" w:rsidRPr="001110A6">
        <w:rPr>
          <w:color w:val="auto"/>
          <w:sz w:val="22"/>
          <w:szCs w:val="22"/>
        </w:rPr>
        <w:t xml:space="preserve">650,000 tonnes to 680,000 </w:t>
      </w:r>
      <w:r w:rsidR="001110A6" w:rsidRPr="001110A6">
        <w:rPr>
          <w:color w:val="auto"/>
          <w:sz w:val="22"/>
          <w:szCs w:val="22"/>
        </w:rPr>
        <w:t xml:space="preserve">respectively </w:t>
      </w:r>
      <w:r w:rsidR="00BA2636" w:rsidRPr="001110A6">
        <w:rPr>
          <w:color w:val="auto"/>
          <w:sz w:val="22"/>
          <w:szCs w:val="22"/>
        </w:rPr>
        <w:t>ton</w:t>
      </w:r>
      <w:r w:rsidR="006D5766" w:rsidRPr="001110A6">
        <w:rPr>
          <w:color w:val="auto"/>
          <w:sz w:val="22"/>
          <w:szCs w:val="22"/>
        </w:rPr>
        <w:t>n</w:t>
      </w:r>
      <w:r w:rsidR="00BA2636" w:rsidRPr="001110A6">
        <w:rPr>
          <w:color w:val="auto"/>
          <w:sz w:val="22"/>
          <w:szCs w:val="22"/>
        </w:rPr>
        <w:t>es each</w:t>
      </w:r>
      <w:r w:rsidR="001110A6" w:rsidRPr="001110A6">
        <w:rPr>
          <w:color w:val="auto"/>
          <w:sz w:val="22"/>
          <w:szCs w:val="22"/>
        </w:rPr>
        <w:t xml:space="preserve"> </w:t>
      </w:r>
      <w:r w:rsidR="00BA2636" w:rsidRPr="001110A6">
        <w:rPr>
          <w:color w:val="auto"/>
          <w:sz w:val="22"/>
          <w:szCs w:val="22"/>
        </w:rPr>
        <w:t>year.</w:t>
      </w:r>
      <w:r w:rsidR="00CF773C" w:rsidRPr="001110A6">
        <w:rPr>
          <w:color w:val="auto"/>
          <w:sz w:val="22"/>
          <w:szCs w:val="22"/>
        </w:rPr>
        <w:t xml:space="preserve"> </w:t>
      </w:r>
    </w:p>
    <w:p w14:paraId="4AB34142" w14:textId="6D592C87" w:rsidR="002720E3" w:rsidRDefault="00400157" w:rsidP="00481732">
      <w:pPr>
        <w:pStyle w:val="BodyText10"/>
        <w:numPr>
          <w:ilvl w:val="0"/>
          <w:numId w:val="3"/>
        </w:numPr>
        <w:spacing w:line="276" w:lineRule="auto"/>
        <w:rPr>
          <w:color w:val="auto"/>
          <w:sz w:val="22"/>
          <w:szCs w:val="22"/>
        </w:rPr>
      </w:pPr>
      <w:r w:rsidRPr="00F8410B">
        <w:rPr>
          <w:color w:val="auto"/>
          <w:sz w:val="22"/>
          <w:szCs w:val="22"/>
        </w:rPr>
        <w:t xml:space="preserve">Rotherham Council’s Cabinet approved commencement of a partial update of the Local Plan Core Strategy in July 2019. </w:t>
      </w:r>
      <w:r w:rsidR="00BF1A68" w:rsidRPr="00F8410B">
        <w:rPr>
          <w:color w:val="auto"/>
          <w:sz w:val="22"/>
          <w:szCs w:val="22"/>
        </w:rPr>
        <w:t xml:space="preserve">An updated Local Development Scheme setting out the timetable for the partial update was approved by the Council’s Cabinet in </w:t>
      </w:r>
      <w:r w:rsidR="00F8410B" w:rsidRPr="00F8410B">
        <w:rPr>
          <w:color w:val="auto"/>
          <w:sz w:val="22"/>
          <w:szCs w:val="22"/>
        </w:rPr>
        <w:t>July 2024</w:t>
      </w:r>
      <w:r w:rsidR="00BF1A68" w:rsidRPr="00F8410B">
        <w:rPr>
          <w:color w:val="auto"/>
          <w:sz w:val="22"/>
          <w:szCs w:val="22"/>
        </w:rPr>
        <w:t xml:space="preserve">. </w:t>
      </w:r>
      <w:r w:rsidR="00F8410B" w:rsidRPr="00F8410B">
        <w:rPr>
          <w:color w:val="auto"/>
          <w:sz w:val="22"/>
          <w:szCs w:val="22"/>
        </w:rPr>
        <w:t xml:space="preserve">The Core Strategy Partial Update </w:t>
      </w:r>
      <w:r w:rsidR="00F8410B">
        <w:rPr>
          <w:color w:val="auto"/>
          <w:sz w:val="22"/>
          <w:szCs w:val="22"/>
        </w:rPr>
        <w:t xml:space="preserve">Regulation 18 consultation has been undertaken in August </w:t>
      </w:r>
      <w:r w:rsidR="00F8410B">
        <w:rPr>
          <w:color w:val="auto"/>
          <w:sz w:val="22"/>
          <w:szCs w:val="22"/>
        </w:rPr>
        <w:lastRenderedPageBreak/>
        <w:t xml:space="preserve">2024 which </w:t>
      </w:r>
      <w:r w:rsidR="00F8410B" w:rsidRPr="00F8410B">
        <w:rPr>
          <w:color w:val="auto"/>
          <w:sz w:val="22"/>
          <w:szCs w:val="22"/>
        </w:rPr>
        <w:t xml:space="preserve">consists of changes to planning policies on housing, flood risk and water management, climate change, improving public health, carbon reduction, and Social Value. It reflects new Council policies introduced since the current Core Strategy was adopted, such as the declarations on climate emergency and nature crisis, and the priority of achieving Social Value. An update of the infrastructure requirements to support new growth is also included. The </w:t>
      </w:r>
      <w:proofErr w:type="gramStart"/>
      <w:r w:rsidR="00F8410B" w:rsidRPr="00F8410B">
        <w:rPr>
          <w:color w:val="auto"/>
          <w:sz w:val="22"/>
          <w:szCs w:val="22"/>
        </w:rPr>
        <w:t>five year</w:t>
      </w:r>
      <w:proofErr w:type="gramEnd"/>
      <w:r w:rsidR="00F8410B" w:rsidRPr="00F8410B">
        <w:rPr>
          <w:color w:val="auto"/>
          <w:sz w:val="22"/>
          <w:szCs w:val="22"/>
        </w:rPr>
        <w:t xml:space="preserve"> review has identified that Rotherham has sufficient housing sites allocated that meet the identified requirement</w:t>
      </w:r>
      <w:r w:rsidR="00F8410B">
        <w:rPr>
          <w:color w:val="auto"/>
          <w:sz w:val="22"/>
          <w:szCs w:val="22"/>
        </w:rPr>
        <w:t xml:space="preserve"> however this is prior to the latest NPPF published in December 2024. A consultation statement will be prepared in due course. </w:t>
      </w:r>
      <w:r w:rsidR="002720E3" w:rsidRPr="00F8410B">
        <w:rPr>
          <w:color w:val="auto"/>
          <w:sz w:val="22"/>
          <w:szCs w:val="22"/>
        </w:rPr>
        <w:t>For further information please contact either:</w:t>
      </w:r>
    </w:p>
    <w:p w14:paraId="6F29A345" w14:textId="77777777" w:rsidR="008930E3" w:rsidRPr="00F8410B" w:rsidRDefault="008930E3" w:rsidP="00481732">
      <w:pPr>
        <w:pStyle w:val="BodyText10"/>
        <w:numPr>
          <w:ilvl w:val="0"/>
          <w:numId w:val="3"/>
        </w:numPr>
        <w:spacing w:line="276" w:lineRule="auto"/>
        <w:rPr>
          <w:color w:val="auto"/>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20" w:type="dxa"/>
          <w:right w:w="120" w:type="dxa"/>
        </w:tblCellMar>
        <w:tblLook w:val="0000" w:firstRow="0" w:lastRow="0" w:firstColumn="0" w:lastColumn="0" w:noHBand="0" w:noVBand="0"/>
        <w:tblCaption w:val="Table showing contact information"/>
        <w:tblDescription w:val="Table showing contact information"/>
      </w:tblPr>
      <w:tblGrid>
        <w:gridCol w:w="4510"/>
        <w:gridCol w:w="4510"/>
      </w:tblGrid>
      <w:tr w:rsidR="00CA1977" w:rsidRPr="00BC25C3" w14:paraId="4168BB28" w14:textId="77777777" w:rsidTr="00CA1977">
        <w:tc>
          <w:tcPr>
            <w:tcW w:w="2500" w:type="pct"/>
          </w:tcPr>
          <w:p w14:paraId="59DB6D19" w14:textId="77777777" w:rsidR="00CA1977" w:rsidRPr="002720E3" w:rsidRDefault="00CA1977" w:rsidP="00D73374">
            <w:pPr>
              <w:spacing w:before="240" w:line="276" w:lineRule="auto"/>
              <w:rPr>
                <w:rFonts w:ascii="Arial" w:eastAsia="Times New Roman" w:hAnsi="Arial" w:cs="Arial"/>
                <w:b/>
              </w:rPr>
            </w:pPr>
            <w:r w:rsidRPr="002720E3">
              <w:rPr>
                <w:rFonts w:ascii="Arial" w:eastAsia="Times New Roman" w:hAnsi="Arial" w:cs="Arial"/>
                <w:b/>
              </w:rPr>
              <w:t>Authority</w:t>
            </w:r>
          </w:p>
        </w:tc>
        <w:tc>
          <w:tcPr>
            <w:tcW w:w="2500" w:type="pct"/>
          </w:tcPr>
          <w:p w14:paraId="51F5360B" w14:textId="77777777" w:rsidR="00CA1977" w:rsidRPr="002720E3" w:rsidRDefault="00CA1977" w:rsidP="00D73374">
            <w:pPr>
              <w:spacing w:before="240" w:line="276" w:lineRule="auto"/>
              <w:rPr>
                <w:rFonts w:ascii="Arial" w:eastAsia="Times New Roman" w:hAnsi="Arial" w:cs="Arial"/>
                <w:b/>
              </w:rPr>
            </w:pPr>
            <w:r w:rsidRPr="002720E3">
              <w:rPr>
                <w:rFonts w:ascii="Arial" w:eastAsia="Times New Roman" w:hAnsi="Arial" w:cs="Arial"/>
                <w:b/>
              </w:rPr>
              <w:t>Contact Name</w:t>
            </w:r>
          </w:p>
        </w:tc>
      </w:tr>
      <w:tr w:rsidR="00CA1977" w:rsidRPr="00822C29" w14:paraId="5665F0DD" w14:textId="77777777" w:rsidTr="00CA1977">
        <w:tc>
          <w:tcPr>
            <w:tcW w:w="2500" w:type="pct"/>
          </w:tcPr>
          <w:p w14:paraId="69E0D05C" w14:textId="77777777" w:rsidR="00CA1977" w:rsidRPr="002720E3" w:rsidRDefault="00CA1977" w:rsidP="00D73374">
            <w:pPr>
              <w:spacing w:before="240" w:line="276" w:lineRule="auto"/>
              <w:rPr>
                <w:rFonts w:ascii="Arial" w:eastAsia="Times New Roman" w:hAnsi="Arial" w:cs="Arial"/>
              </w:rPr>
            </w:pPr>
            <w:r w:rsidRPr="002720E3">
              <w:rPr>
                <w:rFonts w:ascii="Arial" w:eastAsia="Times New Roman" w:hAnsi="Arial" w:cs="Arial"/>
              </w:rPr>
              <w:t>Doncaster Council</w:t>
            </w:r>
          </w:p>
        </w:tc>
        <w:tc>
          <w:tcPr>
            <w:tcW w:w="2500" w:type="pct"/>
          </w:tcPr>
          <w:p w14:paraId="70A649A9" w14:textId="77777777" w:rsidR="00CA1977" w:rsidRPr="002720E3" w:rsidRDefault="00CA1977" w:rsidP="00D73374">
            <w:pPr>
              <w:spacing w:before="240" w:line="276" w:lineRule="auto"/>
              <w:rPr>
                <w:rFonts w:ascii="Arial" w:eastAsia="Times New Roman" w:hAnsi="Arial" w:cs="Arial"/>
              </w:rPr>
            </w:pPr>
            <w:r w:rsidRPr="002720E3">
              <w:rPr>
                <w:rFonts w:ascii="Arial" w:eastAsia="Times New Roman" w:hAnsi="Arial" w:cs="Arial"/>
              </w:rPr>
              <w:t>Helen McCluskie</w:t>
            </w:r>
          </w:p>
        </w:tc>
      </w:tr>
      <w:tr w:rsidR="00CA1977" w:rsidRPr="00822C29" w14:paraId="0360BF7E" w14:textId="77777777" w:rsidTr="00CA1977">
        <w:tc>
          <w:tcPr>
            <w:tcW w:w="2500" w:type="pct"/>
          </w:tcPr>
          <w:p w14:paraId="1FD62069" w14:textId="77777777" w:rsidR="00CA1977" w:rsidRPr="002720E3" w:rsidRDefault="00CA1977" w:rsidP="00D73374">
            <w:pPr>
              <w:spacing w:before="240" w:line="276" w:lineRule="auto"/>
              <w:rPr>
                <w:rFonts w:ascii="Arial" w:eastAsia="Times New Roman" w:hAnsi="Arial" w:cs="Arial"/>
              </w:rPr>
            </w:pPr>
            <w:r w:rsidRPr="002720E3">
              <w:rPr>
                <w:rFonts w:ascii="Arial" w:eastAsia="Times New Roman" w:hAnsi="Arial" w:cs="Arial"/>
              </w:rPr>
              <w:t>Rotherham Council</w:t>
            </w:r>
          </w:p>
        </w:tc>
        <w:tc>
          <w:tcPr>
            <w:tcW w:w="2500" w:type="pct"/>
          </w:tcPr>
          <w:p w14:paraId="74A6129D" w14:textId="1CF34671" w:rsidR="00CA1977" w:rsidRPr="002720E3" w:rsidRDefault="00CA1977" w:rsidP="00D73374">
            <w:pPr>
              <w:spacing w:before="240" w:line="276" w:lineRule="auto"/>
              <w:rPr>
                <w:rFonts w:ascii="Arial" w:eastAsia="Times New Roman" w:hAnsi="Arial" w:cs="Arial"/>
              </w:rPr>
            </w:pPr>
            <w:r>
              <w:rPr>
                <w:rFonts w:ascii="Arial" w:eastAsia="Times New Roman" w:hAnsi="Arial" w:cs="Arial"/>
              </w:rPr>
              <w:t>Winsze Lam</w:t>
            </w:r>
          </w:p>
        </w:tc>
      </w:tr>
    </w:tbl>
    <w:p w14:paraId="223643DF" w14:textId="77777777" w:rsidR="00020A64" w:rsidRDefault="00020A64" w:rsidP="00D73374">
      <w:pPr>
        <w:pStyle w:val="BodyText10"/>
        <w:spacing w:line="276" w:lineRule="auto"/>
        <w:rPr>
          <w:sz w:val="22"/>
          <w:szCs w:val="22"/>
        </w:rPr>
        <w:sectPr w:rsidR="00020A64" w:rsidSect="002933FB">
          <w:headerReference w:type="default" r:id="rId23"/>
          <w:footerReference w:type="default" r:id="rId24"/>
          <w:footerReference w:type="first" r:id="rId25"/>
          <w:pgSz w:w="11906" w:h="16838" w:code="9"/>
          <w:pgMar w:top="993" w:right="1440" w:bottom="993" w:left="1440" w:header="709" w:footer="709" w:gutter="0"/>
          <w:pgNumType w:start="0"/>
          <w:cols w:space="708"/>
          <w:titlePg/>
          <w:docGrid w:linePitch="360"/>
        </w:sectPr>
      </w:pPr>
    </w:p>
    <w:p w14:paraId="26DBA97F" w14:textId="29AD11EB" w:rsidR="00A3314B" w:rsidRDefault="00A3314B" w:rsidP="00D73374">
      <w:pPr>
        <w:pStyle w:val="Sub-heading"/>
        <w:spacing w:after="240" w:line="276" w:lineRule="auto"/>
        <w:jc w:val="left"/>
        <w:outlineLvl w:val="1"/>
        <w:rPr>
          <w:color w:val="auto"/>
          <w:sz w:val="20"/>
        </w:rPr>
      </w:pPr>
      <w:bookmarkStart w:id="82" w:name="_Toc198549825"/>
      <w:r>
        <w:rPr>
          <w:color w:val="auto"/>
          <w:sz w:val="20"/>
        </w:rPr>
        <w:lastRenderedPageBreak/>
        <w:t>Appendix One – Planning Application Summary</w:t>
      </w:r>
      <w:r w:rsidR="001D4DB8">
        <w:rPr>
          <w:color w:val="auto"/>
          <w:sz w:val="20"/>
        </w:rPr>
        <w:t xml:space="preserve"> 2023 /2024</w:t>
      </w:r>
      <w:bookmarkEnd w:id="82"/>
    </w:p>
    <w:p w14:paraId="722B6EF7" w14:textId="642EAA84" w:rsidR="00B5147B" w:rsidRDefault="00B5147B" w:rsidP="00D73374">
      <w:pPr>
        <w:pStyle w:val="Sub-heading"/>
        <w:spacing w:after="240" w:line="276" w:lineRule="auto"/>
        <w:jc w:val="left"/>
        <w:outlineLvl w:val="1"/>
        <w:rPr>
          <w:color w:val="auto"/>
          <w:sz w:val="20"/>
        </w:rPr>
      </w:pPr>
      <w:bookmarkStart w:id="83" w:name="_Toc198549826"/>
      <w:r>
        <w:rPr>
          <w:color w:val="auto"/>
          <w:sz w:val="20"/>
        </w:rPr>
        <w:t>Doncaster</w:t>
      </w:r>
      <w:bookmarkEnd w:id="83"/>
    </w:p>
    <w:tbl>
      <w:tblPr>
        <w:tblW w:w="5000" w:type="pct"/>
        <w:tblLayout w:type="fixed"/>
        <w:tblLook w:val="04A0" w:firstRow="1" w:lastRow="0" w:firstColumn="1" w:lastColumn="0" w:noHBand="0" w:noVBand="1"/>
      </w:tblPr>
      <w:tblGrid>
        <w:gridCol w:w="1836"/>
        <w:gridCol w:w="1419"/>
        <w:gridCol w:w="1701"/>
        <w:gridCol w:w="3827"/>
        <w:gridCol w:w="5635"/>
      </w:tblGrid>
      <w:tr w:rsidR="008E31AA" w:rsidRPr="009E6FC4" w14:paraId="2D3A456A" w14:textId="77777777" w:rsidTr="007B639A">
        <w:trPr>
          <w:trHeight w:val="300"/>
          <w:tblHeader/>
        </w:trPr>
        <w:tc>
          <w:tcPr>
            <w:tcW w:w="63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87319DC" w14:textId="77777777" w:rsidR="009E6FC4" w:rsidRPr="009E6FC4" w:rsidRDefault="009E6FC4" w:rsidP="00D73374">
            <w:pPr>
              <w:spacing w:line="276" w:lineRule="auto"/>
              <w:rPr>
                <w:rFonts w:ascii="Calibri" w:eastAsia="Times New Roman" w:hAnsi="Calibri" w:cs="Calibri"/>
                <w:b/>
                <w:bCs/>
                <w:color w:val="000000"/>
                <w:lang w:eastAsia="en-GB"/>
              </w:rPr>
            </w:pPr>
            <w:r w:rsidRPr="009E6FC4">
              <w:rPr>
                <w:rFonts w:ascii="Calibri" w:eastAsia="Times New Roman" w:hAnsi="Calibri" w:cs="Calibri"/>
                <w:b/>
                <w:bCs/>
                <w:color w:val="000000"/>
                <w:lang w:eastAsia="en-GB"/>
              </w:rPr>
              <w:t>Name</w:t>
            </w:r>
          </w:p>
        </w:tc>
        <w:tc>
          <w:tcPr>
            <w:tcW w:w="492" w:type="pct"/>
            <w:tcBorders>
              <w:top w:val="single" w:sz="4" w:space="0" w:color="auto"/>
              <w:left w:val="nil"/>
              <w:bottom w:val="single" w:sz="4" w:space="0" w:color="auto"/>
              <w:right w:val="single" w:sz="4" w:space="0" w:color="auto"/>
            </w:tcBorders>
            <w:shd w:val="clear" w:color="000000" w:fill="D9D9D9"/>
            <w:vAlign w:val="center"/>
            <w:hideMark/>
          </w:tcPr>
          <w:p w14:paraId="42B3B4B5" w14:textId="59D4AC31" w:rsidR="009E6FC4" w:rsidRPr="009E6FC4" w:rsidRDefault="009E6FC4" w:rsidP="00D73374">
            <w:pPr>
              <w:spacing w:line="276" w:lineRule="auto"/>
              <w:rPr>
                <w:rFonts w:ascii="Calibri" w:eastAsia="Times New Roman" w:hAnsi="Calibri" w:cs="Calibri"/>
                <w:b/>
                <w:bCs/>
                <w:color w:val="000000"/>
                <w:lang w:eastAsia="en-GB"/>
              </w:rPr>
            </w:pPr>
            <w:r w:rsidRPr="009E6FC4">
              <w:rPr>
                <w:rFonts w:ascii="Calibri" w:eastAsia="Times New Roman" w:hAnsi="Calibri" w:cs="Calibri"/>
                <w:b/>
                <w:bCs/>
                <w:color w:val="000000"/>
                <w:lang w:eastAsia="en-GB"/>
              </w:rPr>
              <w:t>Operator</w:t>
            </w:r>
            <w:r w:rsidR="008E31AA">
              <w:rPr>
                <w:rFonts w:ascii="Calibri" w:eastAsia="Times New Roman" w:hAnsi="Calibri" w:cs="Calibri"/>
                <w:b/>
                <w:bCs/>
                <w:color w:val="000000"/>
                <w:lang w:eastAsia="en-GB"/>
              </w:rPr>
              <w:t xml:space="preserve"> </w:t>
            </w:r>
            <w:r w:rsidRPr="009E6FC4">
              <w:rPr>
                <w:rFonts w:ascii="Calibri" w:eastAsia="Times New Roman" w:hAnsi="Calibri" w:cs="Calibri"/>
                <w:b/>
                <w:bCs/>
                <w:color w:val="000000"/>
                <w:lang w:eastAsia="en-GB"/>
              </w:rPr>
              <w:t>/</w:t>
            </w:r>
            <w:r w:rsidR="008E31AA">
              <w:rPr>
                <w:rFonts w:ascii="Calibri" w:eastAsia="Times New Roman" w:hAnsi="Calibri" w:cs="Calibri"/>
                <w:b/>
                <w:bCs/>
                <w:color w:val="000000"/>
                <w:lang w:eastAsia="en-GB"/>
              </w:rPr>
              <w:t xml:space="preserve"> </w:t>
            </w:r>
            <w:r w:rsidRPr="009E6FC4">
              <w:rPr>
                <w:rFonts w:ascii="Calibri" w:eastAsia="Times New Roman" w:hAnsi="Calibri" w:cs="Calibri"/>
                <w:b/>
                <w:bCs/>
                <w:color w:val="000000"/>
                <w:lang w:eastAsia="en-GB"/>
              </w:rPr>
              <w:t>Applicant</w:t>
            </w:r>
          </w:p>
        </w:tc>
        <w:tc>
          <w:tcPr>
            <w:tcW w:w="590" w:type="pct"/>
            <w:tcBorders>
              <w:top w:val="single" w:sz="4" w:space="0" w:color="auto"/>
              <w:left w:val="nil"/>
              <w:bottom w:val="single" w:sz="4" w:space="0" w:color="auto"/>
              <w:right w:val="single" w:sz="4" w:space="0" w:color="auto"/>
            </w:tcBorders>
            <w:shd w:val="clear" w:color="000000" w:fill="D9D9D9"/>
            <w:vAlign w:val="center"/>
            <w:hideMark/>
          </w:tcPr>
          <w:p w14:paraId="03286EE8" w14:textId="17E87A52" w:rsidR="009E6FC4" w:rsidRPr="009E6FC4" w:rsidRDefault="009E6FC4" w:rsidP="00D73374">
            <w:pPr>
              <w:spacing w:line="276" w:lineRule="auto"/>
              <w:rPr>
                <w:rFonts w:ascii="Calibri" w:eastAsia="Times New Roman" w:hAnsi="Calibri" w:cs="Calibri"/>
                <w:b/>
                <w:bCs/>
                <w:color w:val="000000"/>
                <w:lang w:eastAsia="en-GB"/>
              </w:rPr>
            </w:pPr>
            <w:r w:rsidRPr="009E6FC4">
              <w:rPr>
                <w:rFonts w:ascii="Calibri" w:eastAsia="Times New Roman" w:hAnsi="Calibri" w:cs="Calibri"/>
                <w:b/>
                <w:bCs/>
                <w:color w:val="000000"/>
                <w:lang w:eastAsia="en-GB"/>
              </w:rPr>
              <w:t>App</w:t>
            </w:r>
            <w:r w:rsidR="008E31AA">
              <w:rPr>
                <w:rFonts w:ascii="Calibri" w:eastAsia="Times New Roman" w:hAnsi="Calibri" w:cs="Calibri"/>
                <w:b/>
                <w:bCs/>
                <w:color w:val="000000"/>
                <w:lang w:eastAsia="en-GB"/>
              </w:rPr>
              <w:t>licatio</w:t>
            </w:r>
            <w:r w:rsidR="007C20DA">
              <w:rPr>
                <w:rFonts w:ascii="Calibri" w:eastAsia="Times New Roman" w:hAnsi="Calibri" w:cs="Calibri"/>
                <w:b/>
                <w:bCs/>
                <w:color w:val="000000"/>
                <w:lang w:eastAsia="en-GB"/>
              </w:rPr>
              <w:t>n N</w:t>
            </w:r>
            <w:r w:rsidRPr="009E6FC4">
              <w:rPr>
                <w:rFonts w:ascii="Calibri" w:eastAsia="Times New Roman" w:hAnsi="Calibri" w:cs="Calibri"/>
                <w:b/>
                <w:bCs/>
                <w:color w:val="000000"/>
                <w:lang w:eastAsia="en-GB"/>
              </w:rPr>
              <w:t>umber</w:t>
            </w:r>
          </w:p>
        </w:tc>
        <w:tc>
          <w:tcPr>
            <w:tcW w:w="1327" w:type="pct"/>
            <w:tcBorders>
              <w:top w:val="single" w:sz="4" w:space="0" w:color="auto"/>
              <w:left w:val="nil"/>
              <w:bottom w:val="single" w:sz="4" w:space="0" w:color="auto"/>
              <w:right w:val="single" w:sz="4" w:space="0" w:color="auto"/>
            </w:tcBorders>
            <w:shd w:val="clear" w:color="000000" w:fill="D9D9D9"/>
            <w:vAlign w:val="center"/>
            <w:hideMark/>
          </w:tcPr>
          <w:p w14:paraId="41336404" w14:textId="77777777" w:rsidR="009E6FC4" w:rsidRPr="009E6FC4" w:rsidRDefault="009E6FC4" w:rsidP="00D73374">
            <w:pPr>
              <w:spacing w:line="276" w:lineRule="auto"/>
              <w:rPr>
                <w:rFonts w:ascii="Calibri" w:eastAsia="Times New Roman" w:hAnsi="Calibri" w:cs="Calibri"/>
                <w:b/>
                <w:bCs/>
                <w:color w:val="000000"/>
                <w:lang w:eastAsia="en-GB"/>
              </w:rPr>
            </w:pPr>
            <w:r w:rsidRPr="009E6FC4">
              <w:rPr>
                <w:rFonts w:ascii="Calibri" w:eastAsia="Times New Roman" w:hAnsi="Calibri" w:cs="Calibri"/>
                <w:b/>
                <w:bCs/>
                <w:color w:val="000000"/>
                <w:lang w:eastAsia="en-GB"/>
              </w:rPr>
              <w:t>Details</w:t>
            </w:r>
          </w:p>
        </w:tc>
        <w:tc>
          <w:tcPr>
            <w:tcW w:w="1954" w:type="pct"/>
            <w:tcBorders>
              <w:top w:val="single" w:sz="4" w:space="0" w:color="auto"/>
              <w:left w:val="nil"/>
              <w:bottom w:val="single" w:sz="4" w:space="0" w:color="auto"/>
              <w:right w:val="single" w:sz="4" w:space="0" w:color="auto"/>
            </w:tcBorders>
            <w:shd w:val="clear" w:color="000000" w:fill="D9D9D9"/>
            <w:vAlign w:val="center"/>
            <w:hideMark/>
          </w:tcPr>
          <w:p w14:paraId="6B90CDF6" w14:textId="77777777" w:rsidR="009E6FC4" w:rsidRPr="009E6FC4" w:rsidRDefault="009E6FC4" w:rsidP="00D73374">
            <w:pPr>
              <w:spacing w:line="276" w:lineRule="auto"/>
              <w:rPr>
                <w:rFonts w:ascii="Calibri" w:eastAsia="Times New Roman" w:hAnsi="Calibri" w:cs="Calibri"/>
                <w:b/>
                <w:bCs/>
                <w:color w:val="000000"/>
                <w:lang w:eastAsia="en-GB"/>
              </w:rPr>
            </w:pPr>
            <w:r w:rsidRPr="009E6FC4">
              <w:rPr>
                <w:rFonts w:ascii="Calibri" w:eastAsia="Times New Roman" w:hAnsi="Calibri" w:cs="Calibri"/>
                <w:b/>
                <w:bCs/>
                <w:color w:val="000000"/>
                <w:lang w:eastAsia="en-GB"/>
              </w:rPr>
              <w:t>Notes</w:t>
            </w:r>
          </w:p>
        </w:tc>
      </w:tr>
      <w:tr w:rsidR="008E31AA" w:rsidRPr="009E6FC4" w14:paraId="45F2BEF2" w14:textId="77777777" w:rsidTr="000A148E">
        <w:trPr>
          <w:trHeight w:val="900"/>
        </w:trPr>
        <w:tc>
          <w:tcPr>
            <w:tcW w:w="637" w:type="pct"/>
            <w:tcBorders>
              <w:top w:val="nil"/>
              <w:left w:val="single" w:sz="4" w:space="0" w:color="auto"/>
              <w:bottom w:val="single" w:sz="4" w:space="0" w:color="auto"/>
              <w:right w:val="single" w:sz="4" w:space="0" w:color="auto"/>
            </w:tcBorders>
            <w:shd w:val="clear" w:color="000000" w:fill="FFFFFF"/>
            <w:vAlign w:val="center"/>
            <w:hideMark/>
          </w:tcPr>
          <w:p w14:paraId="2F85AE7A" w14:textId="77777777"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t xml:space="preserve">Land Off </w:t>
            </w:r>
            <w:proofErr w:type="spellStart"/>
            <w:r w:rsidRPr="009E6FC4">
              <w:rPr>
                <w:rFonts w:ascii="Calibri" w:eastAsia="Times New Roman" w:hAnsi="Calibri" w:cs="Calibri"/>
                <w:color w:val="000000"/>
                <w:lang w:eastAsia="en-GB"/>
              </w:rPr>
              <w:t>Mosscroft</w:t>
            </w:r>
            <w:proofErr w:type="spellEnd"/>
            <w:r w:rsidRPr="009E6FC4">
              <w:rPr>
                <w:rFonts w:ascii="Calibri" w:eastAsia="Times New Roman" w:hAnsi="Calibri" w:cs="Calibri"/>
                <w:color w:val="000000"/>
                <w:lang w:eastAsia="en-GB"/>
              </w:rPr>
              <w:t xml:space="preserve"> Lane Hatfield Doncaster DN7 6ND</w:t>
            </w:r>
          </w:p>
        </w:tc>
        <w:tc>
          <w:tcPr>
            <w:tcW w:w="492" w:type="pct"/>
            <w:tcBorders>
              <w:top w:val="nil"/>
              <w:left w:val="nil"/>
              <w:bottom w:val="single" w:sz="4" w:space="0" w:color="auto"/>
              <w:right w:val="single" w:sz="4" w:space="0" w:color="auto"/>
            </w:tcBorders>
            <w:shd w:val="clear" w:color="000000" w:fill="FFFFFF"/>
            <w:vAlign w:val="center"/>
            <w:hideMark/>
          </w:tcPr>
          <w:p w14:paraId="36835649" w14:textId="77777777"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t> </w:t>
            </w:r>
          </w:p>
        </w:tc>
        <w:tc>
          <w:tcPr>
            <w:tcW w:w="590" w:type="pct"/>
            <w:tcBorders>
              <w:top w:val="nil"/>
              <w:left w:val="nil"/>
              <w:bottom w:val="single" w:sz="4" w:space="0" w:color="auto"/>
              <w:right w:val="single" w:sz="4" w:space="0" w:color="auto"/>
            </w:tcBorders>
            <w:shd w:val="clear" w:color="000000" w:fill="FFFFFF"/>
            <w:vAlign w:val="center"/>
            <w:hideMark/>
          </w:tcPr>
          <w:p w14:paraId="679211CC" w14:textId="77777777"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t>16/02685/MIN</w:t>
            </w:r>
          </w:p>
        </w:tc>
        <w:tc>
          <w:tcPr>
            <w:tcW w:w="1327" w:type="pct"/>
            <w:tcBorders>
              <w:top w:val="nil"/>
              <w:left w:val="nil"/>
              <w:bottom w:val="single" w:sz="4" w:space="0" w:color="auto"/>
              <w:right w:val="single" w:sz="4" w:space="0" w:color="auto"/>
            </w:tcBorders>
            <w:shd w:val="clear" w:color="000000" w:fill="FFFFFF"/>
            <w:vAlign w:val="center"/>
            <w:hideMark/>
          </w:tcPr>
          <w:p w14:paraId="69C1B2CC" w14:textId="77777777"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t>Proposed extraction of sand and gravel reserves, the infilling of land and the provision of landscaping</w:t>
            </w:r>
          </w:p>
        </w:tc>
        <w:tc>
          <w:tcPr>
            <w:tcW w:w="1954" w:type="pct"/>
            <w:tcBorders>
              <w:top w:val="nil"/>
              <w:left w:val="nil"/>
              <w:bottom w:val="single" w:sz="4" w:space="0" w:color="auto"/>
              <w:right w:val="single" w:sz="4" w:space="0" w:color="auto"/>
            </w:tcBorders>
            <w:shd w:val="clear" w:color="000000" w:fill="FFFFFF"/>
            <w:vAlign w:val="center"/>
            <w:hideMark/>
          </w:tcPr>
          <w:p w14:paraId="46F52755" w14:textId="2E5D8D5C"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t xml:space="preserve">Pending </w:t>
            </w:r>
          </w:p>
        </w:tc>
      </w:tr>
      <w:tr w:rsidR="008E31AA" w:rsidRPr="009E6FC4" w14:paraId="3885AD80" w14:textId="77777777" w:rsidTr="000A148E">
        <w:trPr>
          <w:trHeight w:val="1500"/>
        </w:trPr>
        <w:tc>
          <w:tcPr>
            <w:tcW w:w="637" w:type="pct"/>
            <w:tcBorders>
              <w:top w:val="nil"/>
              <w:left w:val="single" w:sz="4" w:space="0" w:color="auto"/>
              <w:bottom w:val="single" w:sz="4" w:space="0" w:color="auto"/>
              <w:right w:val="single" w:sz="4" w:space="0" w:color="auto"/>
            </w:tcBorders>
            <w:shd w:val="clear" w:color="000000" w:fill="FFFFFF"/>
            <w:vAlign w:val="center"/>
            <w:hideMark/>
          </w:tcPr>
          <w:p w14:paraId="0C94264E" w14:textId="77777777"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t>Hazel Lane Quarry</w:t>
            </w:r>
            <w:r w:rsidRPr="009E6FC4">
              <w:rPr>
                <w:rFonts w:ascii="Calibri" w:eastAsia="Times New Roman" w:hAnsi="Calibri" w:cs="Calibri"/>
                <w:color w:val="000000"/>
                <w:lang w:eastAsia="en-GB"/>
              </w:rPr>
              <w:br/>
              <w:t>Wakefield Road</w:t>
            </w:r>
            <w:r w:rsidRPr="009E6FC4">
              <w:rPr>
                <w:rFonts w:ascii="Calibri" w:eastAsia="Times New Roman" w:hAnsi="Calibri" w:cs="Calibri"/>
                <w:color w:val="000000"/>
                <w:lang w:eastAsia="en-GB"/>
              </w:rPr>
              <w:br/>
            </w:r>
            <w:proofErr w:type="spellStart"/>
            <w:r w:rsidRPr="009E6FC4">
              <w:rPr>
                <w:rFonts w:ascii="Calibri" w:eastAsia="Times New Roman" w:hAnsi="Calibri" w:cs="Calibri"/>
                <w:color w:val="000000"/>
                <w:lang w:eastAsia="en-GB"/>
              </w:rPr>
              <w:t>Hampole</w:t>
            </w:r>
            <w:proofErr w:type="spellEnd"/>
            <w:r w:rsidRPr="009E6FC4">
              <w:rPr>
                <w:rFonts w:ascii="Calibri" w:eastAsia="Times New Roman" w:hAnsi="Calibri" w:cs="Calibri"/>
                <w:color w:val="000000"/>
                <w:lang w:eastAsia="en-GB"/>
              </w:rPr>
              <w:br/>
              <w:t>Doncaster</w:t>
            </w:r>
            <w:r w:rsidRPr="009E6FC4">
              <w:rPr>
                <w:rFonts w:ascii="Calibri" w:eastAsia="Times New Roman" w:hAnsi="Calibri" w:cs="Calibri"/>
                <w:color w:val="000000"/>
                <w:lang w:eastAsia="en-GB"/>
              </w:rPr>
              <w:br/>
              <w:t>DN6 7EX</w:t>
            </w:r>
          </w:p>
        </w:tc>
        <w:tc>
          <w:tcPr>
            <w:tcW w:w="492" w:type="pct"/>
            <w:tcBorders>
              <w:top w:val="nil"/>
              <w:left w:val="nil"/>
              <w:bottom w:val="single" w:sz="4" w:space="0" w:color="auto"/>
              <w:right w:val="single" w:sz="4" w:space="0" w:color="auto"/>
            </w:tcBorders>
            <w:shd w:val="clear" w:color="000000" w:fill="FFFFFF"/>
            <w:vAlign w:val="center"/>
            <w:hideMark/>
          </w:tcPr>
          <w:p w14:paraId="2A8E3064" w14:textId="77777777" w:rsidR="009E6FC4" w:rsidRPr="009E6FC4" w:rsidRDefault="009E6FC4" w:rsidP="00D73374">
            <w:pPr>
              <w:spacing w:line="276" w:lineRule="auto"/>
              <w:rPr>
                <w:rFonts w:ascii="Calibri" w:eastAsia="Times New Roman" w:hAnsi="Calibri" w:cs="Calibri"/>
                <w:color w:val="000000"/>
                <w:lang w:eastAsia="en-GB"/>
              </w:rPr>
            </w:pPr>
            <w:proofErr w:type="spellStart"/>
            <w:r w:rsidRPr="009E6FC4">
              <w:rPr>
                <w:rFonts w:ascii="Calibri" w:eastAsia="Times New Roman" w:hAnsi="Calibri" w:cs="Calibri"/>
                <w:color w:val="000000"/>
                <w:lang w:eastAsia="en-GB"/>
              </w:rPr>
              <w:t>CatPlant</w:t>
            </w:r>
            <w:proofErr w:type="spellEnd"/>
          </w:p>
        </w:tc>
        <w:tc>
          <w:tcPr>
            <w:tcW w:w="590" w:type="pct"/>
            <w:tcBorders>
              <w:top w:val="nil"/>
              <w:left w:val="nil"/>
              <w:bottom w:val="single" w:sz="4" w:space="0" w:color="auto"/>
              <w:right w:val="single" w:sz="4" w:space="0" w:color="auto"/>
            </w:tcBorders>
            <w:shd w:val="clear" w:color="000000" w:fill="FFFFFF"/>
            <w:vAlign w:val="center"/>
            <w:hideMark/>
          </w:tcPr>
          <w:p w14:paraId="2BE32CB1" w14:textId="77777777"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t>19/00072/REVA</w:t>
            </w:r>
          </w:p>
        </w:tc>
        <w:tc>
          <w:tcPr>
            <w:tcW w:w="1327" w:type="pct"/>
            <w:tcBorders>
              <w:top w:val="nil"/>
              <w:left w:val="nil"/>
              <w:bottom w:val="single" w:sz="4" w:space="0" w:color="auto"/>
              <w:right w:val="single" w:sz="4" w:space="0" w:color="auto"/>
            </w:tcBorders>
            <w:shd w:val="clear" w:color="000000" w:fill="FFFFFF"/>
            <w:vAlign w:val="center"/>
            <w:hideMark/>
          </w:tcPr>
          <w:p w14:paraId="45365D44" w14:textId="77777777"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t>Application for determination of conditions for mineral site.</w:t>
            </w:r>
          </w:p>
        </w:tc>
        <w:tc>
          <w:tcPr>
            <w:tcW w:w="1954" w:type="pct"/>
            <w:tcBorders>
              <w:top w:val="nil"/>
              <w:left w:val="nil"/>
              <w:bottom w:val="single" w:sz="4" w:space="0" w:color="auto"/>
              <w:right w:val="single" w:sz="4" w:space="0" w:color="auto"/>
            </w:tcBorders>
            <w:shd w:val="clear" w:color="000000" w:fill="FFFFFF"/>
            <w:vAlign w:val="center"/>
            <w:hideMark/>
          </w:tcPr>
          <w:p w14:paraId="51A4C0CF" w14:textId="12A341F9" w:rsidR="009E6FC4" w:rsidRPr="009E6FC4" w:rsidRDefault="009E6FC4" w:rsidP="00D73374">
            <w:pPr>
              <w:spacing w:line="276" w:lineRule="auto"/>
              <w:rPr>
                <w:rFonts w:ascii="Calibri" w:eastAsia="Times New Roman" w:hAnsi="Calibri" w:cs="Calibri"/>
                <w:color w:val="00B050"/>
                <w:lang w:eastAsia="en-GB"/>
              </w:rPr>
            </w:pPr>
            <w:r w:rsidRPr="009E6FC4">
              <w:rPr>
                <w:rFonts w:ascii="Calibri" w:eastAsia="Times New Roman" w:hAnsi="Calibri" w:cs="Calibri"/>
                <w:color w:val="00B050"/>
                <w:lang w:eastAsia="en-GB"/>
              </w:rPr>
              <w:t xml:space="preserve">Approved. Det </w:t>
            </w:r>
            <w:proofErr w:type="spellStart"/>
            <w:r w:rsidRPr="009E6FC4">
              <w:rPr>
                <w:rFonts w:ascii="Calibri" w:eastAsia="Times New Roman" w:hAnsi="Calibri" w:cs="Calibri"/>
                <w:color w:val="00B050"/>
                <w:lang w:eastAsia="en-GB"/>
              </w:rPr>
              <w:t>Conds</w:t>
            </w:r>
            <w:proofErr w:type="spellEnd"/>
            <w:r w:rsidRPr="009E6FC4">
              <w:rPr>
                <w:rFonts w:ascii="Calibri" w:eastAsia="Times New Roman" w:hAnsi="Calibri" w:cs="Calibri"/>
                <w:color w:val="00B050"/>
                <w:lang w:eastAsia="en-GB"/>
              </w:rPr>
              <w:t xml:space="preserve"> and Mins (REV). </w:t>
            </w:r>
            <w:r w:rsidRPr="009E6FC4">
              <w:rPr>
                <w:rFonts w:ascii="Calibri" w:eastAsia="Times New Roman" w:hAnsi="Calibri" w:cs="Calibri"/>
                <w:b/>
                <w:bCs/>
                <w:color w:val="00B050"/>
                <w:lang w:eastAsia="en-GB"/>
              </w:rPr>
              <w:t>18.10.24</w:t>
            </w:r>
            <w:r w:rsidRPr="009E6FC4">
              <w:rPr>
                <w:rFonts w:ascii="Calibri" w:eastAsia="Times New Roman" w:hAnsi="Calibri" w:cs="Calibri"/>
                <w:color w:val="00B050"/>
                <w:lang w:eastAsia="en-GB"/>
              </w:rPr>
              <w:t xml:space="preserve">. time limit 13 January 2034. Includes condition 36 to provide annual monitoring. </w:t>
            </w:r>
          </w:p>
        </w:tc>
      </w:tr>
      <w:tr w:rsidR="008E31AA" w:rsidRPr="009E6FC4" w14:paraId="2B872E70" w14:textId="77777777" w:rsidTr="000A148E">
        <w:trPr>
          <w:trHeight w:val="3900"/>
        </w:trPr>
        <w:tc>
          <w:tcPr>
            <w:tcW w:w="637" w:type="pct"/>
            <w:tcBorders>
              <w:top w:val="nil"/>
              <w:left w:val="single" w:sz="4" w:space="0" w:color="auto"/>
              <w:bottom w:val="single" w:sz="4" w:space="0" w:color="auto"/>
              <w:right w:val="single" w:sz="4" w:space="0" w:color="auto"/>
            </w:tcBorders>
            <w:shd w:val="clear" w:color="000000" w:fill="FFFFFF"/>
            <w:vAlign w:val="center"/>
            <w:hideMark/>
          </w:tcPr>
          <w:p w14:paraId="7B5DDB57" w14:textId="77777777"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t>Holme Hall Quarry</w:t>
            </w:r>
          </w:p>
        </w:tc>
        <w:tc>
          <w:tcPr>
            <w:tcW w:w="492" w:type="pct"/>
            <w:tcBorders>
              <w:top w:val="nil"/>
              <w:left w:val="nil"/>
              <w:bottom w:val="single" w:sz="4" w:space="0" w:color="auto"/>
              <w:right w:val="single" w:sz="4" w:space="0" w:color="auto"/>
            </w:tcBorders>
            <w:shd w:val="clear" w:color="auto" w:fill="auto"/>
            <w:vAlign w:val="center"/>
            <w:hideMark/>
          </w:tcPr>
          <w:p w14:paraId="5AB4A29F" w14:textId="63DA57E4"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 xml:space="preserve">Breedon Southern Ltd </w:t>
            </w:r>
            <w:r w:rsidR="00175412">
              <w:rPr>
                <w:rFonts w:ascii="Calibri" w:eastAsia="Times New Roman" w:hAnsi="Calibri" w:cs="Calibri"/>
                <w:lang w:eastAsia="en-GB"/>
              </w:rPr>
              <w:t>–</w:t>
            </w:r>
            <w:r w:rsidRPr="009E6FC4">
              <w:rPr>
                <w:rFonts w:ascii="Calibri" w:eastAsia="Times New Roman" w:hAnsi="Calibri" w:cs="Calibri"/>
                <w:lang w:eastAsia="en-GB"/>
              </w:rPr>
              <w:t xml:space="preserve"> FAO Mr Ben Ayres</w:t>
            </w:r>
          </w:p>
        </w:tc>
        <w:tc>
          <w:tcPr>
            <w:tcW w:w="590" w:type="pct"/>
            <w:tcBorders>
              <w:top w:val="nil"/>
              <w:left w:val="nil"/>
              <w:bottom w:val="single" w:sz="4" w:space="0" w:color="auto"/>
              <w:right w:val="single" w:sz="4" w:space="0" w:color="auto"/>
            </w:tcBorders>
            <w:shd w:val="clear" w:color="auto" w:fill="auto"/>
            <w:vAlign w:val="center"/>
            <w:hideMark/>
          </w:tcPr>
          <w:p w14:paraId="5ECF9E14"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21/00433/MIN</w:t>
            </w:r>
          </w:p>
        </w:tc>
        <w:tc>
          <w:tcPr>
            <w:tcW w:w="1327" w:type="pct"/>
            <w:tcBorders>
              <w:top w:val="nil"/>
              <w:left w:val="nil"/>
              <w:bottom w:val="single" w:sz="4" w:space="0" w:color="auto"/>
              <w:right w:val="single" w:sz="4" w:space="0" w:color="auto"/>
            </w:tcBorders>
            <w:shd w:val="clear" w:color="auto" w:fill="auto"/>
            <w:vAlign w:val="center"/>
            <w:hideMark/>
          </w:tcPr>
          <w:p w14:paraId="5DF049D1"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 xml:space="preserve">Review of old mineral permissions (including an environmental impact assessment and proposed conditions) for the extraction of limestone and subsequent restoration to a mixture of woodland, grassland, agriculture and waterbodies with footpaths and </w:t>
            </w:r>
            <w:proofErr w:type="gramStart"/>
            <w:r w:rsidRPr="009E6FC4">
              <w:rPr>
                <w:rFonts w:ascii="Calibri" w:eastAsia="Times New Roman" w:hAnsi="Calibri" w:cs="Calibri"/>
                <w:lang w:eastAsia="en-GB"/>
              </w:rPr>
              <w:t>bridleways(</w:t>
            </w:r>
            <w:proofErr w:type="gramEnd"/>
            <w:r w:rsidRPr="009E6FC4">
              <w:rPr>
                <w:rFonts w:ascii="Calibri" w:eastAsia="Times New Roman" w:hAnsi="Calibri" w:cs="Calibri"/>
                <w:lang w:eastAsia="en-GB"/>
              </w:rPr>
              <w:t>Being variation of conditions 1, 2 and 38 of 16/01220/REVA granted on 28.05.2018 to include proposals for a new restoration scheme and a new end date of 11</w:t>
            </w:r>
            <w:r w:rsidRPr="00175412">
              <w:rPr>
                <w:rFonts w:ascii="Calibri" w:eastAsia="Times New Roman" w:hAnsi="Calibri" w:cs="Calibri"/>
                <w:vertAlign w:val="superscript"/>
                <w:lang w:eastAsia="en-GB"/>
              </w:rPr>
              <w:t>th</w:t>
            </w:r>
            <w:r w:rsidRPr="009E6FC4">
              <w:rPr>
                <w:rFonts w:ascii="Calibri" w:eastAsia="Times New Roman" w:hAnsi="Calibri" w:cs="Calibri"/>
                <w:lang w:eastAsia="en-GB"/>
              </w:rPr>
              <w:t xml:space="preserve"> June 2035 for mineral </w:t>
            </w:r>
            <w:r w:rsidRPr="009E6FC4">
              <w:rPr>
                <w:rFonts w:ascii="Calibri" w:eastAsia="Times New Roman" w:hAnsi="Calibri" w:cs="Calibri"/>
                <w:lang w:eastAsia="en-GB"/>
              </w:rPr>
              <w:lastRenderedPageBreak/>
              <w:t>extraction, processing and dispatch operations)</w:t>
            </w:r>
          </w:p>
        </w:tc>
        <w:tc>
          <w:tcPr>
            <w:tcW w:w="1954" w:type="pct"/>
            <w:tcBorders>
              <w:top w:val="nil"/>
              <w:left w:val="nil"/>
              <w:bottom w:val="single" w:sz="4" w:space="0" w:color="auto"/>
              <w:right w:val="single" w:sz="4" w:space="0" w:color="auto"/>
            </w:tcBorders>
            <w:shd w:val="clear" w:color="auto" w:fill="auto"/>
            <w:vAlign w:val="center"/>
            <w:hideMark/>
          </w:tcPr>
          <w:p w14:paraId="664CCDFC" w14:textId="644CA551" w:rsidR="009E6FC4" w:rsidRPr="009E6FC4" w:rsidRDefault="009E6FC4" w:rsidP="00D73374">
            <w:pPr>
              <w:spacing w:line="276" w:lineRule="auto"/>
              <w:rPr>
                <w:rFonts w:ascii="Calibri" w:eastAsia="Times New Roman" w:hAnsi="Calibri" w:cs="Calibri"/>
                <w:color w:val="00B050"/>
                <w:lang w:eastAsia="en-GB"/>
              </w:rPr>
            </w:pPr>
            <w:r w:rsidRPr="009E6FC4">
              <w:rPr>
                <w:rFonts w:ascii="Calibri" w:eastAsia="Times New Roman" w:hAnsi="Calibri" w:cs="Calibri"/>
                <w:color w:val="00B050"/>
                <w:lang w:eastAsia="en-GB"/>
              </w:rPr>
              <w:lastRenderedPageBreak/>
              <w:t xml:space="preserve">Approved. </w:t>
            </w:r>
            <w:r w:rsidRPr="009E6FC4">
              <w:rPr>
                <w:rFonts w:ascii="Calibri" w:eastAsia="Times New Roman" w:hAnsi="Calibri" w:cs="Calibri"/>
                <w:b/>
                <w:bCs/>
                <w:color w:val="00B050"/>
                <w:lang w:eastAsia="en-GB"/>
              </w:rPr>
              <w:t>26.07.24</w:t>
            </w:r>
            <w:r w:rsidRPr="009E6FC4">
              <w:rPr>
                <w:rFonts w:ascii="Calibri" w:eastAsia="Times New Roman" w:hAnsi="Calibri" w:cs="Calibri"/>
                <w:color w:val="00B050"/>
                <w:lang w:eastAsia="en-GB"/>
              </w:rPr>
              <w:t>. Operations to shall cease on 11</w:t>
            </w:r>
            <w:r w:rsidRPr="00175412">
              <w:rPr>
                <w:rFonts w:ascii="Calibri" w:eastAsia="Times New Roman" w:hAnsi="Calibri" w:cs="Calibri"/>
                <w:color w:val="00B050"/>
                <w:vertAlign w:val="superscript"/>
                <w:lang w:eastAsia="en-GB"/>
              </w:rPr>
              <w:t>th</w:t>
            </w:r>
            <w:r w:rsidRPr="009E6FC4">
              <w:rPr>
                <w:rFonts w:ascii="Calibri" w:eastAsia="Times New Roman" w:hAnsi="Calibri" w:cs="Calibri"/>
                <w:color w:val="00B050"/>
                <w:lang w:eastAsia="en-GB"/>
              </w:rPr>
              <w:t xml:space="preserve"> June 2035 with restoration completed within 24 months thereafter. </w:t>
            </w:r>
            <w:hyperlink r:id="rId26" w:history="1">
              <w:r w:rsidR="00175412" w:rsidRPr="00892DE5">
                <w:rPr>
                  <w:rStyle w:val="Hyperlink"/>
                  <w:rFonts w:ascii="Calibri" w:eastAsia="Times New Roman" w:hAnsi="Calibri" w:cs="Calibri"/>
                  <w:lang w:eastAsia="en-GB"/>
                </w:rPr>
                <w:t xml:space="preserve">https://iawpad.doncaster.gov.uk/PublicAccess_LIVE/Document/ViewDocument?id=5E92AFCB6BA211EB9AE2A4C3F07CFCCB </w:t>
              </w:r>
            </w:hyperlink>
          </w:p>
        </w:tc>
      </w:tr>
      <w:tr w:rsidR="008E31AA" w:rsidRPr="009E6FC4" w14:paraId="0F46F9A5" w14:textId="77777777" w:rsidTr="000A148E">
        <w:trPr>
          <w:trHeight w:val="1800"/>
        </w:trPr>
        <w:tc>
          <w:tcPr>
            <w:tcW w:w="637" w:type="pct"/>
            <w:tcBorders>
              <w:top w:val="nil"/>
              <w:left w:val="single" w:sz="4" w:space="0" w:color="auto"/>
              <w:bottom w:val="single" w:sz="4" w:space="0" w:color="auto"/>
              <w:right w:val="single" w:sz="4" w:space="0" w:color="auto"/>
            </w:tcBorders>
            <w:shd w:val="clear" w:color="auto" w:fill="auto"/>
            <w:vAlign w:val="center"/>
            <w:hideMark/>
          </w:tcPr>
          <w:p w14:paraId="7C0D5C1F"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Dale Pit Quarry</w:t>
            </w:r>
          </w:p>
        </w:tc>
        <w:tc>
          <w:tcPr>
            <w:tcW w:w="492" w:type="pct"/>
            <w:tcBorders>
              <w:top w:val="nil"/>
              <w:left w:val="nil"/>
              <w:bottom w:val="single" w:sz="4" w:space="0" w:color="auto"/>
              <w:right w:val="single" w:sz="4" w:space="0" w:color="auto"/>
            </w:tcBorders>
            <w:shd w:val="clear" w:color="auto" w:fill="auto"/>
            <w:vAlign w:val="center"/>
            <w:hideMark/>
          </w:tcPr>
          <w:p w14:paraId="2793FE82" w14:textId="1E71A1EE"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 xml:space="preserve">John Holt </w:t>
            </w:r>
            <w:r w:rsidR="00175412">
              <w:rPr>
                <w:rFonts w:ascii="Calibri" w:eastAsia="Times New Roman" w:hAnsi="Calibri" w:cs="Calibri"/>
                <w:lang w:eastAsia="en-GB"/>
              </w:rPr>
              <w:t>–</w:t>
            </w:r>
            <w:r w:rsidRPr="009E6FC4">
              <w:rPr>
                <w:rFonts w:ascii="Calibri" w:eastAsia="Times New Roman" w:hAnsi="Calibri" w:cs="Calibri"/>
                <w:lang w:eastAsia="en-GB"/>
              </w:rPr>
              <w:t xml:space="preserve"> Dale Pitt Aggregates</w:t>
            </w:r>
          </w:p>
        </w:tc>
        <w:tc>
          <w:tcPr>
            <w:tcW w:w="590" w:type="pct"/>
            <w:tcBorders>
              <w:top w:val="nil"/>
              <w:left w:val="nil"/>
              <w:bottom w:val="single" w:sz="4" w:space="0" w:color="auto"/>
              <w:right w:val="single" w:sz="4" w:space="0" w:color="auto"/>
            </w:tcBorders>
            <w:shd w:val="clear" w:color="auto" w:fill="auto"/>
            <w:vAlign w:val="center"/>
            <w:hideMark/>
          </w:tcPr>
          <w:p w14:paraId="739794C5"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21/00534/MIN</w:t>
            </w:r>
          </w:p>
        </w:tc>
        <w:tc>
          <w:tcPr>
            <w:tcW w:w="1327" w:type="pct"/>
            <w:tcBorders>
              <w:top w:val="nil"/>
              <w:left w:val="nil"/>
              <w:bottom w:val="single" w:sz="4" w:space="0" w:color="auto"/>
              <w:right w:val="single" w:sz="4" w:space="0" w:color="auto"/>
            </w:tcBorders>
            <w:shd w:val="clear" w:color="auto" w:fill="auto"/>
            <w:vAlign w:val="center"/>
            <w:hideMark/>
          </w:tcPr>
          <w:p w14:paraId="193337B7"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A planning application for the extraction of sand and gravel and the restoration of the land to a landform suitable for nature conservation and ancillary activities together with the consolidation of Planning Permission 18/01656/MIN.</w:t>
            </w:r>
          </w:p>
        </w:tc>
        <w:tc>
          <w:tcPr>
            <w:tcW w:w="1954" w:type="pct"/>
            <w:tcBorders>
              <w:top w:val="nil"/>
              <w:left w:val="nil"/>
              <w:bottom w:val="single" w:sz="4" w:space="0" w:color="auto"/>
              <w:right w:val="single" w:sz="4" w:space="0" w:color="auto"/>
            </w:tcBorders>
            <w:shd w:val="clear" w:color="auto" w:fill="auto"/>
            <w:vAlign w:val="center"/>
            <w:hideMark/>
          </w:tcPr>
          <w:p w14:paraId="5CED1B8E" w14:textId="5604BF30" w:rsidR="009E6FC4" w:rsidRPr="009E6FC4" w:rsidRDefault="009E6FC4" w:rsidP="00D73374">
            <w:pPr>
              <w:spacing w:line="276" w:lineRule="auto"/>
              <w:rPr>
                <w:rFonts w:ascii="Calibri" w:eastAsia="Times New Roman" w:hAnsi="Calibri" w:cs="Calibri"/>
                <w:color w:val="00B050"/>
                <w:lang w:eastAsia="en-GB"/>
              </w:rPr>
            </w:pPr>
            <w:r w:rsidRPr="009E6FC4">
              <w:rPr>
                <w:rFonts w:ascii="Calibri" w:eastAsia="Times New Roman" w:hAnsi="Calibri" w:cs="Calibri"/>
                <w:color w:val="00B050"/>
                <w:lang w:eastAsia="en-GB"/>
              </w:rPr>
              <w:t xml:space="preserve">Approved </w:t>
            </w:r>
            <w:r w:rsidRPr="009E6FC4">
              <w:rPr>
                <w:rFonts w:ascii="Calibri" w:eastAsia="Times New Roman" w:hAnsi="Calibri" w:cs="Calibri"/>
                <w:b/>
                <w:bCs/>
                <w:color w:val="00B050"/>
                <w:lang w:eastAsia="en-GB"/>
              </w:rPr>
              <w:t>11.05.2023</w:t>
            </w:r>
            <w:r w:rsidRPr="009E6FC4">
              <w:rPr>
                <w:rFonts w:ascii="Calibri" w:eastAsia="Times New Roman" w:hAnsi="Calibri" w:cs="Calibri"/>
                <w:color w:val="00B050"/>
                <w:lang w:eastAsia="en-GB"/>
              </w:rPr>
              <w:t xml:space="preserve"> </w:t>
            </w:r>
          </w:p>
        </w:tc>
      </w:tr>
      <w:tr w:rsidR="008E31AA" w:rsidRPr="009E6FC4" w14:paraId="34B265E4" w14:textId="77777777" w:rsidTr="000A148E">
        <w:trPr>
          <w:trHeight w:val="600"/>
        </w:trPr>
        <w:tc>
          <w:tcPr>
            <w:tcW w:w="637" w:type="pct"/>
            <w:tcBorders>
              <w:top w:val="nil"/>
              <w:left w:val="single" w:sz="4" w:space="0" w:color="auto"/>
              <w:bottom w:val="single" w:sz="4" w:space="0" w:color="auto"/>
              <w:right w:val="single" w:sz="4" w:space="0" w:color="auto"/>
            </w:tcBorders>
            <w:shd w:val="clear" w:color="auto" w:fill="auto"/>
            <w:vAlign w:val="center"/>
            <w:hideMark/>
          </w:tcPr>
          <w:p w14:paraId="30E3E75D"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Rossington Quarry Great North Rd, Rossington</w:t>
            </w:r>
          </w:p>
        </w:tc>
        <w:tc>
          <w:tcPr>
            <w:tcW w:w="492" w:type="pct"/>
            <w:tcBorders>
              <w:top w:val="nil"/>
              <w:left w:val="nil"/>
              <w:bottom w:val="single" w:sz="4" w:space="0" w:color="auto"/>
              <w:right w:val="single" w:sz="4" w:space="0" w:color="auto"/>
            </w:tcBorders>
            <w:shd w:val="clear" w:color="auto" w:fill="auto"/>
            <w:vAlign w:val="center"/>
            <w:hideMark/>
          </w:tcPr>
          <w:p w14:paraId="322FAC02"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Robinson And Rowley Ltd</w:t>
            </w:r>
          </w:p>
        </w:tc>
        <w:tc>
          <w:tcPr>
            <w:tcW w:w="590" w:type="pct"/>
            <w:tcBorders>
              <w:top w:val="nil"/>
              <w:left w:val="nil"/>
              <w:bottom w:val="single" w:sz="4" w:space="0" w:color="auto"/>
              <w:right w:val="single" w:sz="4" w:space="0" w:color="auto"/>
            </w:tcBorders>
            <w:shd w:val="clear" w:color="auto" w:fill="auto"/>
            <w:vAlign w:val="center"/>
            <w:hideMark/>
          </w:tcPr>
          <w:p w14:paraId="69E69EAB"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21/02493/MIN</w:t>
            </w:r>
          </w:p>
        </w:tc>
        <w:tc>
          <w:tcPr>
            <w:tcW w:w="1327" w:type="pct"/>
            <w:tcBorders>
              <w:top w:val="nil"/>
              <w:left w:val="nil"/>
              <w:bottom w:val="single" w:sz="4" w:space="0" w:color="auto"/>
              <w:right w:val="single" w:sz="4" w:space="0" w:color="auto"/>
            </w:tcBorders>
            <w:shd w:val="clear" w:color="auto" w:fill="auto"/>
            <w:vAlign w:val="center"/>
            <w:hideMark/>
          </w:tcPr>
          <w:p w14:paraId="4F61ED12" w14:textId="180BC82B"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 xml:space="preserve">Formation of new access to Bawtry Road for extraction of grit, sand and gravel </w:t>
            </w:r>
            <w:r w:rsidR="00175412">
              <w:rPr>
                <w:rFonts w:ascii="Calibri" w:eastAsia="Times New Roman" w:hAnsi="Calibri" w:cs="Calibri"/>
                <w:lang w:eastAsia="en-GB"/>
              </w:rPr>
              <w:t>–</w:t>
            </w:r>
            <w:r w:rsidRPr="009E6FC4">
              <w:rPr>
                <w:rFonts w:ascii="Calibri" w:eastAsia="Times New Roman" w:hAnsi="Calibri" w:cs="Calibri"/>
                <w:lang w:eastAsia="en-GB"/>
              </w:rPr>
              <w:t xml:space="preserve"> DRAFT</w:t>
            </w:r>
          </w:p>
        </w:tc>
        <w:tc>
          <w:tcPr>
            <w:tcW w:w="1954" w:type="pct"/>
            <w:tcBorders>
              <w:top w:val="nil"/>
              <w:left w:val="nil"/>
              <w:bottom w:val="single" w:sz="4" w:space="0" w:color="auto"/>
              <w:right w:val="single" w:sz="4" w:space="0" w:color="auto"/>
            </w:tcBorders>
            <w:shd w:val="clear" w:color="auto" w:fill="auto"/>
            <w:vAlign w:val="center"/>
            <w:hideMark/>
          </w:tcPr>
          <w:p w14:paraId="7AD0BB67" w14:textId="77777777" w:rsidR="009E6FC4" w:rsidRPr="009E6FC4" w:rsidRDefault="009E6FC4" w:rsidP="00D73374">
            <w:pPr>
              <w:spacing w:line="276" w:lineRule="auto"/>
              <w:rPr>
                <w:rFonts w:ascii="Calibri" w:eastAsia="Times New Roman" w:hAnsi="Calibri" w:cs="Calibri"/>
                <w:color w:val="00B050"/>
                <w:lang w:eastAsia="en-GB"/>
              </w:rPr>
            </w:pPr>
            <w:r w:rsidRPr="009E6FC4">
              <w:rPr>
                <w:rFonts w:ascii="Calibri" w:eastAsia="Times New Roman" w:hAnsi="Calibri" w:cs="Calibri"/>
                <w:color w:val="00B050"/>
                <w:lang w:eastAsia="en-GB"/>
              </w:rPr>
              <w:t xml:space="preserve">Approved </w:t>
            </w:r>
            <w:r w:rsidRPr="009E6FC4">
              <w:rPr>
                <w:rFonts w:ascii="Calibri" w:eastAsia="Times New Roman" w:hAnsi="Calibri" w:cs="Calibri"/>
                <w:b/>
                <w:bCs/>
                <w:color w:val="00B050"/>
                <w:lang w:eastAsia="en-GB"/>
              </w:rPr>
              <w:t>10.03.2023</w:t>
            </w:r>
            <w:r w:rsidRPr="009E6FC4">
              <w:rPr>
                <w:rFonts w:ascii="Calibri" w:eastAsia="Times New Roman" w:hAnsi="Calibri" w:cs="Calibri"/>
                <w:color w:val="00B050"/>
                <w:lang w:eastAsia="en-GB"/>
              </w:rPr>
              <w:t xml:space="preserve"> (400,000 tonnes sand with 60% sharp sand /gravel)</w:t>
            </w:r>
          </w:p>
        </w:tc>
      </w:tr>
      <w:tr w:rsidR="008E31AA" w:rsidRPr="009E6FC4" w14:paraId="3D9744D5" w14:textId="77777777" w:rsidTr="000A148E">
        <w:trPr>
          <w:trHeight w:val="2100"/>
        </w:trPr>
        <w:tc>
          <w:tcPr>
            <w:tcW w:w="637" w:type="pct"/>
            <w:tcBorders>
              <w:top w:val="nil"/>
              <w:left w:val="single" w:sz="4" w:space="0" w:color="auto"/>
              <w:bottom w:val="single" w:sz="4" w:space="0" w:color="auto"/>
              <w:right w:val="single" w:sz="4" w:space="0" w:color="auto"/>
            </w:tcBorders>
            <w:shd w:val="clear" w:color="auto" w:fill="auto"/>
            <w:vAlign w:val="center"/>
            <w:hideMark/>
          </w:tcPr>
          <w:p w14:paraId="3AFB9EE4"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lastRenderedPageBreak/>
              <w:t>North Of Holme Hall Quarry</w:t>
            </w:r>
            <w:r w:rsidRPr="009E6FC4">
              <w:rPr>
                <w:rFonts w:ascii="Calibri" w:eastAsia="Times New Roman" w:hAnsi="Calibri" w:cs="Calibri"/>
                <w:lang w:eastAsia="en-GB"/>
              </w:rPr>
              <w:br/>
              <w:t>Holme Hall Lane</w:t>
            </w:r>
            <w:r w:rsidRPr="009E6FC4">
              <w:rPr>
                <w:rFonts w:ascii="Calibri" w:eastAsia="Times New Roman" w:hAnsi="Calibri" w:cs="Calibri"/>
                <w:lang w:eastAsia="en-GB"/>
              </w:rPr>
              <w:br/>
              <w:t xml:space="preserve">Stainton </w:t>
            </w:r>
            <w:r w:rsidRPr="009E6FC4">
              <w:rPr>
                <w:rFonts w:ascii="Calibri" w:eastAsia="Times New Roman" w:hAnsi="Calibri" w:cs="Calibri"/>
                <w:lang w:eastAsia="en-GB"/>
              </w:rPr>
              <w:br/>
              <w:t>Doncaster</w:t>
            </w:r>
            <w:r w:rsidRPr="009E6FC4">
              <w:rPr>
                <w:rFonts w:ascii="Calibri" w:eastAsia="Times New Roman" w:hAnsi="Calibri" w:cs="Calibri"/>
                <w:lang w:eastAsia="en-GB"/>
              </w:rPr>
              <w:br/>
              <w:t>DN12 1QB</w:t>
            </w:r>
          </w:p>
        </w:tc>
        <w:tc>
          <w:tcPr>
            <w:tcW w:w="492" w:type="pct"/>
            <w:tcBorders>
              <w:top w:val="nil"/>
              <w:left w:val="nil"/>
              <w:bottom w:val="single" w:sz="4" w:space="0" w:color="auto"/>
              <w:right w:val="single" w:sz="4" w:space="0" w:color="auto"/>
            </w:tcBorders>
            <w:shd w:val="clear" w:color="auto" w:fill="auto"/>
            <w:vAlign w:val="center"/>
            <w:hideMark/>
          </w:tcPr>
          <w:p w14:paraId="620B5A1B"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Breedon Southern Ltd</w:t>
            </w:r>
          </w:p>
        </w:tc>
        <w:tc>
          <w:tcPr>
            <w:tcW w:w="590" w:type="pct"/>
            <w:tcBorders>
              <w:top w:val="nil"/>
              <w:left w:val="nil"/>
              <w:bottom w:val="single" w:sz="4" w:space="0" w:color="auto"/>
              <w:right w:val="single" w:sz="4" w:space="0" w:color="auto"/>
            </w:tcBorders>
            <w:shd w:val="clear" w:color="auto" w:fill="auto"/>
            <w:vAlign w:val="center"/>
            <w:hideMark/>
          </w:tcPr>
          <w:p w14:paraId="688CB05F"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21/00398/MINA</w:t>
            </w:r>
          </w:p>
        </w:tc>
        <w:tc>
          <w:tcPr>
            <w:tcW w:w="1327" w:type="pct"/>
            <w:tcBorders>
              <w:top w:val="nil"/>
              <w:left w:val="nil"/>
              <w:bottom w:val="single" w:sz="4" w:space="0" w:color="auto"/>
              <w:right w:val="single" w:sz="4" w:space="0" w:color="auto"/>
            </w:tcBorders>
            <w:shd w:val="clear" w:color="auto" w:fill="auto"/>
            <w:vAlign w:val="center"/>
            <w:hideMark/>
          </w:tcPr>
          <w:p w14:paraId="7857224C"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 xml:space="preserve">Proposed northerly extension of the quarry workings into around 31.6ha of land to include mineral extraction; in-pit primary processing and transfer of mineral to plant site. Proposals also include creation of peripheral screen mounds, advance planting and progressive </w:t>
            </w:r>
          </w:p>
        </w:tc>
        <w:tc>
          <w:tcPr>
            <w:tcW w:w="1954" w:type="pct"/>
            <w:tcBorders>
              <w:top w:val="nil"/>
              <w:left w:val="nil"/>
              <w:bottom w:val="single" w:sz="4" w:space="0" w:color="auto"/>
              <w:right w:val="single" w:sz="4" w:space="0" w:color="auto"/>
            </w:tcBorders>
            <w:shd w:val="clear" w:color="auto" w:fill="auto"/>
            <w:vAlign w:val="center"/>
            <w:hideMark/>
          </w:tcPr>
          <w:p w14:paraId="41CBAC21" w14:textId="0F277A32" w:rsidR="009E6FC4" w:rsidRPr="009E6FC4" w:rsidRDefault="009E6FC4" w:rsidP="00D73374">
            <w:pPr>
              <w:spacing w:line="276" w:lineRule="auto"/>
              <w:rPr>
                <w:rFonts w:ascii="Calibri" w:eastAsia="Times New Roman" w:hAnsi="Calibri" w:cs="Calibri"/>
                <w:color w:val="00B050"/>
                <w:lang w:eastAsia="en-GB"/>
              </w:rPr>
            </w:pPr>
            <w:r w:rsidRPr="009E6FC4">
              <w:rPr>
                <w:rFonts w:ascii="Calibri" w:eastAsia="Times New Roman" w:hAnsi="Calibri" w:cs="Calibri"/>
                <w:color w:val="00B050"/>
                <w:lang w:eastAsia="en-GB"/>
              </w:rPr>
              <w:t xml:space="preserve">Approved </w:t>
            </w:r>
            <w:r w:rsidRPr="009E6FC4">
              <w:rPr>
                <w:rFonts w:ascii="Calibri" w:eastAsia="Times New Roman" w:hAnsi="Calibri" w:cs="Calibri"/>
                <w:b/>
                <w:bCs/>
                <w:color w:val="00B050"/>
                <w:lang w:eastAsia="en-GB"/>
              </w:rPr>
              <w:t>3.10.2023.</w:t>
            </w:r>
            <w:r w:rsidRPr="009E6FC4">
              <w:rPr>
                <w:rFonts w:ascii="Calibri" w:eastAsia="Times New Roman" w:hAnsi="Calibri" w:cs="Calibri"/>
                <w:color w:val="00B050"/>
                <w:lang w:eastAsia="en-GB"/>
              </w:rPr>
              <w:t xml:space="preserve"> Extraction 19 Mt crushed rock aggregate over 8 years at 2.4Mt annually. Completion including restoration 11.06.2035 </w:t>
            </w:r>
          </w:p>
        </w:tc>
      </w:tr>
      <w:tr w:rsidR="008E31AA" w:rsidRPr="009E6FC4" w14:paraId="232795FA" w14:textId="77777777" w:rsidTr="000A148E">
        <w:trPr>
          <w:trHeight w:val="1500"/>
        </w:trPr>
        <w:tc>
          <w:tcPr>
            <w:tcW w:w="637" w:type="pct"/>
            <w:tcBorders>
              <w:top w:val="nil"/>
              <w:left w:val="single" w:sz="4" w:space="0" w:color="auto"/>
              <w:bottom w:val="single" w:sz="4" w:space="0" w:color="auto"/>
              <w:right w:val="single" w:sz="4" w:space="0" w:color="auto"/>
            </w:tcBorders>
            <w:shd w:val="clear" w:color="auto" w:fill="auto"/>
            <w:vAlign w:val="center"/>
            <w:hideMark/>
          </w:tcPr>
          <w:p w14:paraId="6F3866DC"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Hurst Plantation Quarry</w:t>
            </w:r>
            <w:r w:rsidRPr="009E6FC4">
              <w:rPr>
                <w:rFonts w:ascii="Calibri" w:eastAsia="Times New Roman" w:hAnsi="Calibri" w:cs="Calibri"/>
                <w:lang w:eastAsia="en-GB"/>
              </w:rPr>
              <w:br/>
              <w:t>Hurst Lane</w:t>
            </w:r>
            <w:r w:rsidRPr="009E6FC4">
              <w:rPr>
                <w:rFonts w:ascii="Calibri" w:eastAsia="Times New Roman" w:hAnsi="Calibri" w:cs="Calibri"/>
                <w:lang w:eastAsia="en-GB"/>
              </w:rPr>
              <w:br/>
            </w:r>
            <w:proofErr w:type="spellStart"/>
            <w:r w:rsidRPr="009E6FC4">
              <w:rPr>
                <w:rFonts w:ascii="Calibri" w:eastAsia="Times New Roman" w:hAnsi="Calibri" w:cs="Calibri"/>
                <w:lang w:eastAsia="en-GB"/>
              </w:rPr>
              <w:t>Auckley</w:t>
            </w:r>
            <w:proofErr w:type="spellEnd"/>
            <w:r w:rsidRPr="009E6FC4">
              <w:rPr>
                <w:rFonts w:ascii="Calibri" w:eastAsia="Times New Roman" w:hAnsi="Calibri" w:cs="Calibri"/>
                <w:lang w:eastAsia="en-GB"/>
              </w:rPr>
              <w:br/>
              <w:t>Doncaster</w:t>
            </w:r>
            <w:r w:rsidRPr="009E6FC4">
              <w:rPr>
                <w:rFonts w:ascii="Calibri" w:eastAsia="Times New Roman" w:hAnsi="Calibri" w:cs="Calibri"/>
                <w:lang w:eastAsia="en-GB"/>
              </w:rPr>
              <w:br/>
              <w:t>DN9 3NW</w:t>
            </w:r>
          </w:p>
        </w:tc>
        <w:tc>
          <w:tcPr>
            <w:tcW w:w="492" w:type="pct"/>
            <w:tcBorders>
              <w:top w:val="nil"/>
              <w:left w:val="nil"/>
              <w:bottom w:val="single" w:sz="4" w:space="0" w:color="auto"/>
              <w:right w:val="single" w:sz="4" w:space="0" w:color="auto"/>
            </w:tcBorders>
            <w:shd w:val="clear" w:color="auto" w:fill="auto"/>
            <w:vAlign w:val="center"/>
            <w:hideMark/>
          </w:tcPr>
          <w:p w14:paraId="61CEEAB3"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The Green Group Ltd</w:t>
            </w:r>
          </w:p>
        </w:tc>
        <w:tc>
          <w:tcPr>
            <w:tcW w:w="590" w:type="pct"/>
            <w:tcBorders>
              <w:top w:val="nil"/>
              <w:left w:val="nil"/>
              <w:bottom w:val="single" w:sz="4" w:space="0" w:color="auto"/>
              <w:right w:val="single" w:sz="4" w:space="0" w:color="auto"/>
            </w:tcBorders>
            <w:shd w:val="clear" w:color="auto" w:fill="auto"/>
            <w:vAlign w:val="center"/>
            <w:hideMark/>
          </w:tcPr>
          <w:p w14:paraId="5A0EBAB4"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22/00800/MIN</w:t>
            </w:r>
          </w:p>
        </w:tc>
        <w:tc>
          <w:tcPr>
            <w:tcW w:w="1327" w:type="pct"/>
            <w:tcBorders>
              <w:top w:val="nil"/>
              <w:left w:val="nil"/>
              <w:bottom w:val="single" w:sz="4" w:space="0" w:color="auto"/>
              <w:right w:val="single" w:sz="4" w:space="0" w:color="auto"/>
            </w:tcBorders>
            <w:shd w:val="clear" w:color="auto" w:fill="auto"/>
            <w:vAlign w:val="center"/>
            <w:hideMark/>
          </w:tcPr>
          <w:p w14:paraId="021D77E4"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Review of Old Minerals Permissions 97/05/2598/P/REV and 01/4991/P</w:t>
            </w:r>
          </w:p>
        </w:tc>
        <w:tc>
          <w:tcPr>
            <w:tcW w:w="1954" w:type="pct"/>
            <w:tcBorders>
              <w:top w:val="nil"/>
              <w:left w:val="nil"/>
              <w:bottom w:val="single" w:sz="4" w:space="0" w:color="auto"/>
              <w:right w:val="single" w:sz="4" w:space="0" w:color="auto"/>
            </w:tcBorders>
            <w:shd w:val="clear" w:color="auto" w:fill="auto"/>
            <w:vAlign w:val="center"/>
            <w:hideMark/>
          </w:tcPr>
          <w:p w14:paraId="3F8D19E7" w14:textId="56F832B5"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 xml:space="preserve">Pending </w:t>
            </w:r>
          </w:p>
        </w:tc>
      </w:tr>
      <w:tr w:rsidR="008E31AA" w:rsidRPr="009E6FC4" w14:paraId="47FECA3F" w14:textId="77777777" w:rsidTr="000A148E">
        <w:trPr>
          <w:trHeight w:val="1500"/>
        </w:trPr>
        <w:tc>
          <w:tcPr>
            <w:tcW w:w="637" w:type="pct"/>
            <w:tcBorders>
              <w:top w:val="nil"/>
              <w:left w:val="single" w:sz="4" w:space="0" w:color="auto"/>
              <w:bottom w:val="single" w:sz="4" w:space="0" w:color="auto"/>
              <w:right w:val="single" w:sz="4" w:space="0" w:color="auto"/>
            </w:tcBorders>
            <w:shd w:val="clear" w:color="auto" w:fill="auto"/>
            <w:vAlign w:val="center"/>
            <w:hideMark/>
          </w:tcPr>
          <w:p w14:paraId="40B1673F"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 xml:space="preserve">Quarry </w:t>
            </w:r>
            <w:r w:rsidRPr="009E6FC4">
              <w:rPr>
                <w:rFonts w:ascii="Calibri" w:eastAsia="Times New Roman" w:hAnsi="Calibri" w:cs="Calibri"/>
                <w:lang w:eastAsia="en-GB"/>
              </w:rPr>
              <w:br/>
              <w:t>High Common Lane</w:t>
            </w:r>
            <w:r w:rsidRPr="009E6FC4">
              <w:rPr>
                <w:rFonts w:ascii="Calibri" w:eastAsia="Times New Roman" w:hAnsi="Calibri" w:cs="Calibri"/>
                <w:lang w:eastAsia="en-GB"/>
              </w:rPr>
              <w:br/>
              <w:t>Austerfield</w:t>
            </w:r>
            <w:r w:rsidRPr="009E6FC4">
              <w:rPr>
                <w:rFonts w:ascii="Calibri" w:eastAsia="Times New Roman" w:hAnsi="Calibri" w:cs="Calibri"/>
                <w:lang w:eastAsia="en-GB"/>
              </w:rPr>
              <w:br/>
              <w:t>Doncaster</w:t>
            </w:r>
            <w:r w:rsidRPr="009E6FC4">
              <w:rPr>
                <w:rFonts w:ascii="Calibri" w:eastAsia="Times New Roman" w:hAnsi="Calibri" w:cs="Calibri"/>
                <w:lang w:eastAsia="en-GB"/>
              </w:rPr>
              <w:br/>
              <w:t>DN10 6HA</w:t>
            </w:r>
          </w:p>
        </w:tc>
        <w:tc>
          <w:tcPr>
            <w:tcW w:w="492" w:type="pct"/>
            <w:tcBorders>
              <w:top w:val="nil"/>
              <w:left w:val="nil"/>
              <w:bottom w:val="single" w:sz="4" w:space="0" w:color="auto"/>
              <w:right w:val="single" w:sz="4" w:space="0" w:color="auto"/>
            </w:tcBorders>
            <w:shd w:val="clear" w:color="auto" w:fill="auto"/>
            <w:vAlign w:val="center"/>
            <w:hideMark/>
          </w:tcPr>
          <w:p w14:paraId="70D2A40A" w14:textId="13B8D1C6"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 xml:space="preserve">Mr Carl Rowley </w:t>
            </w:r>
            <w:r w:rsidR="00175412">
              <w:rPr>
                <w:rFonts w:ascii="Calibri" w:eastAsia="Times New Roman" w:hAnsi="Calibri" w:cs="Calibri"/>
                <w:lang w:eastAsia="en-GB"/>
              </w:rPr>
              <w:t>–</w:t>
            </w:r>
            <w:r w:rsidRPr="009E6FC4">
              <w:rPr>
                <w:rFonts w:ascii="Calibri" w:eastAsia="Times New Roman" w:hAnsi="Calibri" w:cs="Calibri"/>
                <w:lang w:eastAsia="en-GB"/>
              </w:rPr>
              <w:t xml:space="preserve"> Misson Sand &amp; Gravel</w:t>
            </w:r>
          </w:p>
        </w:tc>
        <w:tc>
          <w:tcPr>
            <w:tcW w:w="590" w:type="pct"/>
            <w:tcBorders>
              <w:top w:val="nil"/>
              <w:left w:val="nil"/>
              <w:bottom w:val="single" w:sz="4" w:space="0" w:color="auto"/>
              <w:right w:val="single" w:sz="4" w:space="0" w:color="auto"/>
            </w:tcBorders>
            <w:shd w:val="clear" w:color="auto" w:fill="auto"/>
            <w:vAlign w:val="center"/>
            <w:hideMark/>
          </w:tcPr>
          <w:p w14:paraId="5BEC10C3"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22/00202/MIN</w:t>
            </w:r>
          </w:p>
        </w:tc>
        <w:tc>
          <w:tcPr>
            <w:tcW w:w="1327" w:type="pct"/>
            <w:tcBorders>
              <w:top w:val="nil"/>
              <w:left w:val="nil"/>
              <w:bottom w:val="single" w:sz="4" w:space="0" w:color="auto"/>
              <w:right w:val="single" w:sz="4" w:space="0" w:color="auto"/>
            </w:tcBorders>
            <w:shd w:val="clear" w:color="auto" w:fill="auto"/>
            <w:vAlign w:val="center"/>
            <w:hideMark/>
          </w:tcPr>
          <w:p w14:paraId="0A4BEFDF" w14:textId="24BE5885"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 xml:space="preserve">Application to vary condition 4 of planning application 18/02858/MIN granted 24/05/2019 </w:t>
            </w:r>
            <w:r w:rsidR="00175412">
              <w:rPr>
                <w:rFonts w:ascii="Calibri" w:eastAsia="Times New Roman" w:hAnsi="Calibri" w:cs="Calibri"/>
                <w:lang w:eastAsia="en-GB"/>
              </w:rPr>
              <w:t>–</w:t>
            </w:r>
            <w:r w:rsidRPr="009E6FC4">
              <w:rPr>
                <w:rFonts w:ascii="Calibri" w:eastAsia="Times New Roman" w:hAnsi="Calibri" w:cs="Calibri"/>
                <w:lang w:eastAsia="en-GB"/>
              </w:rPr>
              <w:t xml:space="preserve"> to permit a larger volume of materials to be imported and blended, up to a maximum of 30,000 tonnes per annum).</w:t>
            </w:r>
          </w:p>
        </w:tc>
        <w:tc>
          <w:tcPr>
            <w:tcW w:w="1954" w:type="pct"/>
            <w:tcBorders>
              <w:top w:val="nil"/>
              <w:left w:val="nil"/>
              <w:bottom w:val="single" w:sz="4" w:space="0" w:color="auto"/>
              <w:right w:val="single" w:sz="4" w:space="0" w:color="auto"/>
            </w:tcBorders>
            <w:shd w:val="clear" w:color="auto" w:fill="auto"/>
            <w:vAlign w:val="center"/>
            <w:hideMark/>
          </w:tcPr>
          <w:p w14:paraId="1E3DE820" w14:textId="788776E6"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color w:val="00B050"/>
                <w:lang w:eastAsia="en-GB"/>
              </w:rPr>
              <w:t xml:space="preserve">Approved. </w:t>
            </w:r>
            <w:r w:rsidRPr="009E6FC4">
              <w:rPr>
                <w:rFonts w:ascii="Calibri" w:eastAsia="Times New Roman" w:hAnsi="Calibri" w:cs="Calibri"/>
                <w:b/>
                <w:bCs/>
                <w:color w:val="00B050"/>
                <w:lang w:eastAsia="en-GB"/>
              </w:rPr>
              <w:t>13.02.24.</w:t>
            </w:r>
            <w:r w:rsidRPr="009E6FC4">
              <w:rPr>
                <w:rFonts w:ascii="Calibri" w:eastAsia="Times New Roman" w:hAnsi="Calibri" w:cs="Calibri"/>
                <w:color w:val="00B050"/>
                <w:lang w:eastAsia="en-GB"/>
              </w:rPr>
              <w:t xml:space="preserve"> Ref. DC10, granted 14</w:t>
            </w:r>
            <w:r w:rsidRPr="00175412">
              <w:rPr>
                <w:rFonts w:ascii="Calibri" w:eastAsia="Times New Roman" w:hAnsi="Calibri" w:cs="Calibri"/>
                <w:color w:val="00B050"/>
                <w:vertAlign w:val="superscript"/>
                <w:lang w:eastAsia="en-GB"/>
              </w:rPr>
              <w:t>th</w:t>
            </w:r>
            <w:r w:rsidRPr="009E6FC4">
              <w:rPr>
                <w:rFonts w:ascii="Calibri" w:eastAsia="Times New Roman" w:hAnsi="Calibri" w:cs="Calibri"/>
                <w:color w:val="00B050"/>
                <w:lang w:eastAsia="en-GB"/>
              </w:rPr>
              <w:t xml:space="preserve"> May 1954, which expires on 22/02/2042</w:t>
            </w:r>
          </w:p>
        </w:tc>
      </w:tr>
      <w:tr w:rsidR="008E31AA" w:rsidRPr="009E6FC4" w14:paraId="0F632046" w14:textId="77777777" w:rsidTr="000A148E">
        <w:trPr>
          <w:trHeight w:val="1500"/>
        </w:trPr>
        <w:tc>
          <w:tcPr>
            <w:tcW w:w="637" w:type="pct"/>
            <w:tcBorders>
              <w:top w:val="nil"/>
              <w:left w:val="single" w:sz="4" w:space="0" w:color="auto"/>
              <w:bottom w:val="single" w:sz="4" w:space="0" w:color="auto"/>
              <w:right w:val="single" w:sz="4" w:space="0" w:color="auto"/>
            </w:tcBorders>
            <w:shd w:val="clear" w:color="auto" w:fill="auto"/>
            <w:vAlign w:val="center"/>
            <w:hideMark/>
          </w:tcPr>
          <w:p w14:paraId="14A1BCB0" w14:textId="77777777"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t>Hatfield Moors 1 And 3 Production Site</w:t>
            </w:r>
            <w:r w:rsidRPr="009E6FC4">
              <w:rPr>
                <w:rFonts w:ascii="Calibri" w:eastAsia="Times New Roman" w:hAnsi="Calibri" w:cs="Calibri"/>
                <w:color w:val="000000"/>
                <w:lang w:eastAsia="en-GB"/>
              </w:rPr>
              <w:br/>
              <w:t>Lindholme Bank Road</w:t>
            </w:r>
            <w:r w:rsidRPr="009E6FC4">
              <w:rPr>
                <w:rFonts w:ascii="Calibri" w:eastAsia="Times New Roman" w:hAnsi="Calibri" w:cs="Calibri"/>
                <w:color w:val="000000"/>
                <w:lang w:eastAsia="en-GB"/>
              </w:rPr>
              <w:br/>
              <w:t>Hatfield Woodhouse</w:t>
            </w:r>
            <w:r w:rsidRPr="009E6FC4">
              <w:rPr>
                <w:rFonts w:ascii="Calibri" w:eastAsia="Times New Roman" w:hAnsi="Calibri" w:cs="Calibri"/>
                <w:color w:val="000000"/>
                <w:lang w:eastAsia="en-GB"/>
              </w:rPr>
              <w:br/>
            </w:r>
            <w:r w:rsidRPr="009E6FC4">
              <w:rPr>
                <w:rFonts w:ascii="Calibri" w:eastAsia="Times New Roman" w:hAnsi="Calibri" w:cs="Calibri"/>
                <w:color w:val="000000"/>
                <w:lang w:eastAsia="en-GB"/>
              </w:rPr>
              <w:lastRenderedPageBreak/>
              <w:t>Doncaster</w:t>
            </w:r>
            <w:r w:rsidRPr="009E6FC4">
              <w:rPr>
                <w:rFonts w:ascii="Calibri" w:eastAsia="Times New Roman" w:hAnsi="Calibri" w:cs="Calibri"/>
                <w:color w:val="000000"/>
                <w:lang w:eastAsia="en-GB"/>
              </w:rPr>
              <w:br/>
              <w:t>DN7 6DT</w:t>
            </w:r>
          </w:p>
        </w:tc>
        <w:tc>
          <w:tcPr>
            <w:tcW w:w="492" w:type="pct"/>
            <w:tcBorders>
              <w:top w:val="nil"/>
              <w:left w:val="nil"/>
              <w:bottom w:val="single" w:sz="4" w:space="0" w:color="auto"/>
              <w:right w:val="single" w:sz="4" w:space="0" w:color="auto"/>
            </w:tcBorders>
            <w:shd w:val="clear" w:color="auto" w:fill="auto"/>
            <w:vAlign w:val="center"/>
            <w:hideMark/>
          </w:tcPr>
          <w:p w14:paraId="1BD071B3" w14:textId="77777777"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lastRenderedPageBreak/>
              <w:t>Natural England &amp; Evergreen Garden Care UK Ltd</w:t>
            </w:r>
          </w:p>
        </w:tc>
        <w:tc>
          <w:tcPr>
            <w:tcW w:w="590" w:type="pct"/>
            <w:tcBorders>
              <w:top w:val="nil"/>
              <w:left w:val="nil"/>
              <w:bottom w:val="single" w:sz="4" w:space="0" w:color="auto"/>
              <w:right w:val="single" w:sz="4" w:space="0" w:color="auto"/>
            </w:tcBorders>
            <w:shd w:val="clear" w:color="auto" w:fill="auto"/>
            <w:vAlign w:val="center"/>
            <w:hideMark/>
          </w:tcPr>
          <w:p w14:paraId="26A697A0" w14:textId="77777777"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t>22/02772/REV</w:t>
            </w:r>
          </w:p>
        </w:tc>
        <w:tc>
          <w:tcPr>
            <w:tcW w:w="1327" w:type="pct"/>
            <w:tcBorders>
              <w:top w:val="nil"/>
              <w:left w:val="nil"/>
              <w:bottom w:val="single" w:sz="4" w:space="0" w:color="auto"/>
              <w:right w:val="single" w:sz="4" w:space="0" w:color="auto"/>
            </w:tcBorders>
            <w:shd w:val="clear" w:color="auto" w:fill="auto"/>
            <w:vAlign w:val="center"/>
            <w:hideMark/>
          </w:tcPr>
          <w:p w14:paraId="6013A66C" w14:textId="5833FCF3"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t xml:space="preserve">Review of Old Mineral Permissions TH49, 97/51/0221/P and 98/51/2915/WCC </w:t>
            </w:r>
            <w:r w:rsidR="00175412">
              <w:rPr>
                <w:rFonts w:ascii="Calibri" w:eastAsia="Times New Roman" w:hAnsi="Calibri" w:cs="Calibri"/>
                <w:color w:val="000000"/>
                <w:lang w:eastAsia="en-GB"/>
              </w:rPr>
              <w:t>–</w:t>
            </w:r>
            <w:r w:rsidRPr="009E6FC4">
              <w:rPr>
                <w:rFonts w:ascii="Calibri" w:eastAsia="Times New Roman" w:hAnsi="Calibri" w:cs="Calibri"/>
                <w:color w:val="000000"/>
                <w:lang w:eastAsia="en-GB"/>
              </w:rPr>
              <w:t xml:space="preserve"> detailing the restoration of the site following the cessation of all mineral extraction activities.</w:t>
            </w:r>
          </w:p>
        </w:tc>
        <w:tc>
          <w:tcPr>
            <w:tcW w:w="1954" w:type="pct"/>
            <w:tcBorders>
              <w:top w:val="nil"/>
              <w:left w:val="nil"/>
              <w:bottom w:val="single" w:sz="4" w:space="0" w:color="auto"/>
              <w:right w:val="single" w:sz="4" w:space="0" w:color="auto"/>
            </w:tcBorders>
            <w:shd w:val="clear" w:color="auto" w:fill="auto"/>
            <w:vAlign w:val="center"/>
            <w:hideMark/>
          </w:tcPr>
          <w:p w14:paraId="6CE45A25" w14:textId="7FE9523B" w:rsidR="009E6FC4" w:rsidRPr="009E6FC4" w:rsidRDefault="009E6FC4" w:rsidP="00D73374">
            <w:pPr>
              <w:spacing w:line="276" w:lineRule="auto"/>
              <w:rPr>
                <w:rFonts w:ascii="Calibri" w:eastAsia="Times New Roman" w:hAnsi="Calibri" w:cs="Calibri"/>
                <w:color w:val="00B050"/>
                <w:lang w:eastAsia="en-GB"/>
              </w:rPr>
            </w:pPr>
            <w:r w:rsidRPr="009E6FC4">
              <w:rPr>
                <w:rFonts w:ascii="Calibri" w:eastAsia="Times New Roman" w:hAnsi="Calibri" w:cs="Calibri"/>
                <w:color w:val="00B050"/>
                <w:lang w:eastAsia="en-GB"/>
              </w:rPr>
              <w:t xml:space="preserve">Approved. Det </w:t>
            </w:r>
            <w:proofErr w:type="spellStart"/>
            <w:r w:rsidRPr="009E6FC4">
              <w:rPr>
                <w:rFonts w:ascii="Calibri" w:eastAsia="Times New Roman" w:hAnsi="Calibri" w:cs="Calibri"/>
                <w:color w:val="00B050"/>
                <w:lang w:eastAsia="en-GB"/>
              </w:rPr>
              <w:t>Conds</w:t>
            </w:r>
            <w:proofErr w:type="spellEnd"/>
            <w:r w:rsidRPr="009E6FC4">
              <w:rPr>
                <w:rFonts w:ascii="Calibri" w:eastAsia="Times New Roman" w:hAnsi="Calibri" w:cs="Calibri"/>
                <w:color w:val="00B050"/>
                <w:lang w:eastAsia="en-GB"/>
              </w:rPr>
              <w:t xml:space="preserve"> and Mins (REV). 04.04.24 </w:t>
            </w:r>
          </w:p>
        </w:tc>
      </w:tr>
      <w:tr w:rsidR="008E31AA" w:rsidRPr="009E6FC4" w14:paraId="21F323CC" w14:textId="77777777" w:rsidTr="000A148E">
        <w:trPr>
          <w:trHeight w:val="1800"/>
        </w:trPr>
        <w:tc>
          <w:tcPr>
            <w:tcW w:w="637" w:type="pct"/>
            <w:tcBorders>
              <w:top w:val="nil"/>
              <w:left w:val="single" w:sz="4" w:space="0" w:color="auto"/>
              <w:bottom w:val="single" w:sz="4" w:space="0" w:color="auto"/>
              <w:right w:val="single" w:sz="4" w:space="0" w:color="auto"/>
            </w:tcBorders>
            <w:shd w:val="clear" w:color="auto" w:fill="auto"/>
            <w:vAlign w:val="center"/>
            <w:hideMark/>
          </w:tcPr>
          <w:p w14:paraId="68D9E762"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Sand Extraction Site</w:t>
            </w:r>
            <w:r w:rsidRPr="009E6FC4">
              <w:rPr>
                <w:rFonts w:ascii="Calibri" w:eastAsia="Times New Roman" w:hAnsi="Calibri" w:cs="Calibri"/>
                <w:lang w:eastAsia="en-GB"/>
              </w:rPr>
              <w:br/>
              <w:t>Partridge Hill Quarry</w:t>
            </w:r>
            <w:r w:rsidRPr="009E6FC4">
              <w:rPr>
                <w:rFonts w:ascii="Calibri" w:eastAsia="Times New Roman" w:hAnsi="Calibri" w:cs="Calibri"/>
                <w:lang w:eastAsia="en-GB"/>
              </w:rPr>
              <w:br/>
              <w:t>High Common Lane</w:t>
            </w:r>
            <w:r w:rsidRPr="009E6FC4">
              <w:rPr>
                <w:rFonts w:ascii="Calibri" w:eastAsia="Times New Roman" w:hAnsi="Calibri" w:cs="Calibri"/>
                <w:lang w:eastAsia="en-GB"/>
              </w:rPr>
              <w:br/>
              <w:t>Austerfield</w:t>
            </w:r>
            <w:r w:rsidRPr="009E6FC4">
              <w:rPr>
                <w:rFonts w:ascii="Calibri" w:eastAsia="Times New Roman" w:hAnsi="Calibri" w:cs="Calibri"/>
                <w:lang w:eastAsia="en-GB"/>
              </w:rPr>
              <w:br/>
              <w:t>Doncaster</w:t>
            </w:r>
            <w:r w:rsidRPr="009E6FC4">
              <w:rPr>
                <w:rFonts w:ascii="Calibri" w:eastAsia="Times New Roman" w:hAnsi="Calibri" w:cs="Calibri"/>
                <w:lang w:eastAsia="en-GB"/>
              </w:rPr>
              <w:br/>
              <w:t>DN10 6HA</w:t>
            </w:r>
          </w:p>
        </w:tc>
        <w:tc>
          <w:tcPr>
            <w:tcW w:w="492" w:type="pct"/>
            <w:tcBorders>
              <w:top w:val="nil"/>
              <w:left w:val="nil"/>
              <w:bottom w:val="single" w:sz="4" w:space="0" w:color="auto"/>
              <w:right w:val="single" w:sz="4" w:space="0" w:color="auto"/>
            </w:tcBorders>
            <w:shd w:val="clear" w:color="auto" w:fill="auto"/>
            <w:vAlign w:val="center"/>
            <w:hideMark/>
          </w:tcPr>
          <w:p w14:paraId="0A8E7F29"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Misson Sand &amp; Gravel Co.</w:t>
            </w:r>
          </w:p>
        </w:tc>
        <w:tc>
          <w:tcPr>
            <w:tcW w:w="590" w:type="pct"/>
            <w:tcBorders>
              <w:top w:val="nil"/>
              <w:left w:val="nil"/>
              <w:bottom w:val="single" w:sz="4" w:space="0" w:color="auto"/>
              <w:right w:val="single" w:sz="4" w:space="0" w:color="auto"/>
            </w:tcBorders>
            <w:shd w:val="clear" w:color="auto" w:fill="auto"/>
            <w:vAlign w:val="center"/>
            <w:hideMark/>
          </w:tcPr>
          <w:p w14:paraId="17B0F23B"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23/00803/MIN</w:t>
            </w:r>
          </w:p>
        </w:tc>
        <w:tc>
          <w:tcPr>
            <w:tcW w:w="1327" w:type="pct"/>
            <w:tcBorders>
              <w:top w:val="nil"/>
              <w:left w:val="nil"/>
              <w:bottom w:val="single" w:sz="4" w:space="0" w:color="auto"/>
              <w:right w:val="single" w:sz="4" w:space="0" w:color="auto"/>
            </w:tcBorders>
            <w:shd w:val="clear" w:color="auto" w:fill="auto"/>
            <w:vAlign w:val="center"/>
            <w:hideMark/>
          </w:tcPr>
          <w:p w14:paraId="7A498CF5" w14:textId="77777777" w:rsidR="009E6FC4" w:rsidRPr="009E6FC4" w:rsidRDefault="009E6FC4" w:rsidP="00D73374">
            <w:pPr>
              <w:spacing w:line="276" w:lineRule="auto"/>
              <w:rPr>
                <w:rFonts w:ascii="Calibri" w:eastAsia="Times New Roman" w:hAnsi="Calibri" w:cs="Calibri"/>
                <w:lang w:eastAsia="en-GB"/>
              </w:rPr>
            </w:pPr>
            <w:r w:rsidRPr="009E6FC4">
              <w:rPr>
                <w:rFonts w:ascii="Calibri" w:eastAsia="Times New Roman" w:hAnsi="Calibri" w:cs="Calibri"/>
                <w:lang w:eastAsia="en-GB"/>
              </w:rPr>
              <w:t>A planning application for the extraction of sand and gravel and restoration to woodland and agriculture</w:t>
            </w:r>
          </w:p>
        </w:tc>
        <w:tc>
          <w:tcPr>
            <w:tcW w:w="1954" w:type="pct"/>
            <w:tcBorders>
              <w:top w:val="nil"/>
              <w:left w:val="nil"/>
              <w:bottom w:val="single" w:sz="4" w:space="0" w:color="auto"/>
              <w:right w:val="single" w:sz="4" w:space="0" w:color="auto"/>
            </w:tcBorders>
            <w:shd w:val="clear" w:color="auto" w:fill="auto"/>
            <w:vAlign w:val="center"/>
            <w:hideMark/>
          </w:tcPr>
          <w:p w14:paraId="72B196CD" w14:textId="3504AB3A" w:rsidR="009E6FC4" w:rsidRPr="009E6FC4" w:rsidRDefault="009E6FC4" w:rsidP="00D73374">
            <w:pPr>
              <w:spacing w:line="276" w:lineRule="auto"/>
              <w:rPr>
                <w:rFonts w:ascii="Calibri" w:eastAsia="Times New Roman" w:hAnsi="Calibri" w:cs="Calibri"/>
                <w:color w:val="00B050"/>
                <w:lang w:eastAsia="en-GB"/>
              </w:rPr>
            </w:pPr>
            <w:r w:rsidRPr="009E6FC4">
              <w:rPr>
                <w:rFonts w:ascii="Calibri" w:eastAsia="Times New Roman" w:hAnsi="Calibri" w:cs="Calibri"/>
                <w:color w:val="00B050"/>
                <w:lang w:eastAsia="en-GB"/>
              </w:rPr>
              <w:t xml:space="preserve">Approved. </w:t>
            </w:r>
            <w:r w:rsidRPr="009E6FC4">
              <w:rPr>
                <w:rFonts w:ascii="Calibri" w:eastAsia="Times New Roman" w:hAnsi="Calibri" w:cs="Calibri"/>
                <w:b/>
                <w:bCs/>
                <w:color w:val="00B050"/>
                <w:lang w:eastAsia="en-GB"/>
              </w:rPr>
              <w:t>27.06.24</w:t>
            </w:r>
            <w:r w:rsidRPr="009E6FC4">
              <w:rPr>
                <w:rFonts w:ascii="Calibri" w:eastAsia="Times New Roman" w:hAnsi="Calibri" w:cs="Calibri"/>
                <w:color w:val="00B050"/>
                <w:lang w:eastAsia="en-GB"/>
              </w:rPr>
              <w:t xml:space="preserve"> </w:t>
            </w:r>
            <w:proofErr w:type="gramStart"/>
            <w:r w:rsidRPr="009E6FC4">
              <w:rPr>
                <w:rFonts w:ascii="Calibri" w:eastAsia="Times New Roman" w:hAnsi="Calibri" w:cs="Calibri"/>
                <w:color w:val="00B050"/>
                <w:lang w:eastAsia="en-GB"/>
              </w:rPr>
              <w:t>Ten year</w:t>
            </w:r>
            <w:proofErr w:type="gramEnd"/>
            <w:r w:rsidRPr="009E6FC4">
              <w:rPr>
                <w:rFonts w:ascii="Calibri" w:eastAsia="Times New Roman" w:hAnsi="Calibri" w:cs="Calibri"/>
                <w:color w:val="00B050"/>
                <w:lang w:eastAsia="en-GB"/>
              </w:rPr>
              <w:t xml:space="preserve"> extraction 27.06.34. Permitted max annual extraction 250K annually. Importation of 30K clean </w:t>
            </w:r>
            <w:proofErr w:type="gramStart"/>
            <w:r w:rsidRPr="009E6FC4">
              <w:rPr>
                <w:rFonts w:ascii="Calibri" w:eastAsia="Times New Roman" w:hAnsi="Calibri" w:cs="Calibri"/>
                <w:color w:val="00B050"/>
                <w:lang w:eastAsia="en-GB"/>
              </w:rPr>
              <w:t>top soil</w:t>
            </w:r>
            <w:proofErr w:type="gramEnd"/>
            <w:r w:rsidRPr="009E6FC4">
              <w:rPr>
                <w:rFonts w:ascii="Calibri" w:eastAsia="Times New Roman" w:hAnsi="Calibri" w:cs="Calibri"/>
                <w:color w:val="00B050"/>
                <w:lang w:eastAsia="en-GB"/>
              </w:rPr>
              <w:t xml:space="preserve">. </w:t>
            </w:r>
            <w:r w:rsidR="00B93D93" w:rsidRPr="009E6FC4">
              <w:rPr>
                <w:rFonts w:ascii="Calibri" w:eastAsia="Times New Roman" w:hAnsi="Calibri" w:cs="Calibri"/>
                <w:color w:val="00B050"/>
                <w:lang w:eastAsia="en-GB"/>
              </w:rPr>
              <w:t>Also</w:t>
            </w:r>
            <w:r w:rsidRPr="009E6FC4">
              <w:rPr>
                <w:rFonts w:ascii="Calibri" w:eastAsia="Times New Roman" w:hAnsi="Calibri" w:cs="Calibri"/>
                <w:color w:val="00B050"/>
                <w:lang w:eastAsia="en-GB"/>
              </w:rPr>
              <w:t xml:space="preserve"> condition 26 to supply annual monitoring data</w:t>
            </w:r>
          </w:p>
        </w:tc>
      </w:tr>
      <w:tr w:rsidR="008E31AA" w:rsidRPr="009E6FC4" w14:paraId="7CDA0B1F" w14:textId="77777777" w:rsidTr="000A148E">
        <w:trPr>
          <w:trHeight w:val="1800"/>
        </w:trPr>
        <w:tc>
          <w:tcPr>
            <w:tcW w:w="637" w:type="pct"/>
            <w:tcBorders>
              <w:top w:val="nil"/>
              <w:left w:val="single" w:sz="4" w:space="0" w:color="auto"/>
              <w:bottom w:val="single" w:sz="4" w:space="0" w:color="auto"/>
              <w:right w:val="single" w:sz="4" w:space="0" w:color="auto"/>
            </w:tcBorders>
            <w:shd w:val="clear" w:color="auto" w:fill="auto"/>
            <w:vAlign w:val="center"/>
            <w:hideMark/>
          </w:tcPr>
          <w:p w14:paraId="07B0FD30" w14:textId="77777777"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t>Tickhill Low Common Wood</w:t>
            </w:r>
            <w:r w:rsidRPr="009E6FC4">
              <w:rPr>
                <w:rFonts w:ascii="Calibri" w:eastAsia="Times New Roman" w:hAnsi="Calibri" w:cs="Calibri"/>
                <w:color w:val="000000"/>
                <w:lang w:eastAsia="en-GB"/>
              </w:rPr>
              <w:br/>
              <w:t>Great Black Lane</w:t>
            </w:r>
            <w:r w:rsidRPr="009E6FC4">
              <w:rPr>
                <w:rFonts w:ascii="Calibri" w:eastAsia="Times New Roman" w:hAnsi="Calibri" w:cs="Calibri"/>
                <w:color w:val="000000"/>
                <w:lang w:eastAsia="en-GB"/>
              </w:rPr>
              <w:br/>
              <w:t>Bawtry Road</w:t>
            </w:r>
            <w:r w:rsidRPr="009E6FC4">
              <w:rPr>
                <w:rFonts w:ascii="Calibri" w:eastAsia="Times New Roman" w:hAnsi="Calibri" w:cs="Calibri"/>
                <w:color w:val="000000"/>
                <w:lang w:eastAsia="en-GB"/>
              </w:rPr>
              <w:br/>
              <w:t>Tickhill</w:t>
            </w:r>
            <w:r w:rsidRPr="009E6FC4">
              <w:rPr>
                <w:rFonts w:ascii="Calibri" w:eastAsia="Times New Roman" w:hAnsi="Calibri" w:cs="Calibri"/>
                <w:color w:val="000000"/>
                <w:lang w:eastAsia="en-GB"/>
              </w:rPr>
              <w:br/>
              <w:t>Doncaster</w:t>
            </w:r>
            <w:r w:rsidRPr="009E6FC4">
              <w:rPr>
                <w:rFonts w:ascii="Calibri" w:eastAsia="Times New Roman" w:hAnsi="Calibri" w:cs="Calibri"/>
                <w:color w:val="000000"/>
                <w:lang w:eastAsia="en-GB"/>
              </w:rPr>
              <w:br/>
              <w:t>DN11 9EX</w:t>
            </w:r>
          </w:p>
        </w:tc>
        <w:tc>
          <w:tcPr>
            <w:tcW w:w="492" w:type="pct"/>
            <w:tcBorders>
              <w:top w:val="nil"/>
              <w:left w:val="nil"/>
              <w:bottom w:val="single" w:sz="4" w:space="0" w:color="auto"/>
              <w:right w:val="single" w:sz="4" w:space="0" w:color="auto"/>
            </w:tcBorders>
            <w:shd w:val="clear" w:color="auto" w:fill="auto"/>
            <w:vAlign w:val="center"/>
            <w:hideMark/>
          </w:tcPr>
          <w:p w14:paraId="2BEDD722" w14:textId="77777777"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t>Mr D Barnard</w:t>
            </w:r>
          </w:p>
        </w:tc>
        <w:tc>
          <w:tcPr>
            <w:tcW w:w="590" w:type="pct"/>
            <w:tcBorders>
              <w:top w:val="nil"/>
              <w:left w:val="nil"/>
              <w:bottom w:val="single" w:sz="4" w:space="0" w:color="auto"/>
              <w:right w:val="single" w:sz="4" w:space="0" w:color="auto"/>
            </w:tcBorders>
            <w:shd w:val="clear" w:color="auto" w:fill="auto"/>
            <w:vAlign w:val="center"/>
            <w:hideMark/>
          </w:tcPr>
          <w:p w14:paraId="5E62EBC5" w14:textId="77777777"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t>24/00385/MIN</w:t>
            </w:r>
          </w:p>
        </w:tc>
        <w:tc>
          <w:tcPr>
            <w:tcW w:w="1327" w:type="pct"/>
            <w:tcBorders>
              <w:top w:val="nil"/>
              <w:left w:val="nil"/>
              <w:bottom w:val="single" w:sz="4" w:space="0" w:color="auto"/>
              <w:right w:val="single" w:sz="4" w:space="0" w:color="auto"/>
            </w:tcBorders>
            <w:shd w:val="clear" w:color="auto" w:fill="auto"/>
            <w:vAlign w:val="center"/>
            <w:hideMark/>
          </w:tcPr>
          <w:p w14:paraId="13FBDC28" w14:textId="72D1D639" w:rsidR="009E6FC4" w:rsidRPr="009E6FC4" w:rsidRDefault="009E6FC4" w:rsidP="00D73374">
            <w:pPr>
              <w:spacing w:line="276" w:lineRule="auto"/>
              <w:rPr>
                <w:rFonts w:ascii="Calibri" w:eastAsia="Times New Roman" w:hAnsi="Calibri" w:cs="Calibri"/>
                <w:color w:val="000000"/>
                <w:lang w:eastAsia="en-GB"/>
              </w:rPr>
            </w:pPr>
            <w:r w:rsidRPr="009E6FC4">
              <w:rPr>
                <w:rFonts w:ascii="Calibri" w:eastAsia="Times New Roman" w:hAnsi="Calibri" w:cs="Calibri"/>
                <w:color w:val="000000"/>
                <w:lang w:eastAsia="en-GB"/>
              </w:rPr>
              <w:t xml:space="preserve">Recovery of ash from former municipal landfill together with ancillary activities and restoration to an agricultural use (Without compliance of condition 8 of Application Reference Number: 15/01526/MIN granted on 30/06/2016 </w:t>
            </w:r>
            <w:r w:rsidR="00175412">
              <w:rPr>
                <w:rFonts w:ascii="Calibri" w:eastAsia="Times New Roman" w:hAnsi="Calibri" w:cs="Calibri"/>
                <w:color w:val="000000"/>
                <w:lang w:eastAsia="en-GB"/>
              </w:rPr>
              <w:t>–</w:t>
            </w:r>
            <w:r w:rsidRPr="009E6FC4">
              <w:rPr>
                <w:rFonts w:ascii="Calibri" w:eastAsia="Times New Roman" w:hAnsi="Calibri" w:cs="Calibri"/>
                <w:color w:val="000000"/>
                <w:lang w:eastAsia="en-GB"/>
              </w:rPr>
              <w:t xml:space="preserve"> broadleaf trees density)</w:t>
            </w:r>
          </w:p>
        </w:tc>
        <w:tc>
          <w:tcPr>
            <w:tcW w:w="1954" w:type="pct"/>
            <w:tcBorders>
              <w:top w:val="nil"/>
              <w:left w:val="nil"/>
              <w:bottom w:val="single" w:sz="4" w:space="0" w:color="auto"/>
              <w:right w:val="single" w:sz="4" w:space="0" w:color="auto"/>
            </w:tcBorders>
            <w:shd w:val="clear" w:color="auto" w:fill="auto"/>
            <w:vAlign w:val="center"/>
            <w:hideMark/>
          </w:tcPr>
          <w:p w14:paraId="40399A1C" w14:textId="0F29AB69" w:rsidR="009E6FC4" w:rsidRPr="009E6FC4" w:rsidRDefault="009E6FC4" w:rsidP="00D73374">
            <w:pPr>
              <w:spacing w:line="276" w:lineRule="auto"/>
              <w:rPr>
                <w:rFonts w:ascii="Calibri" w:eastAsia="Times New Roman" w:hAnsi="Calibri" w:cs="Calibri"/>
                <w:color w:val="00B050"/>
                <w:lang w:eastAsia="en-GB"/>
              </w:rPr>
            </w:pPr>
            <w:r w:rsidRPr="009E6FC4">
              <w:rPr>
                <w:rFonts w:ascii="Calibri" w:eastAsia="Times New Roman" w:hAnsi="Calibri" w:cs="Calibri"/>
                <w:color w:val="00B050"/>
                <w:lang w:eastAsia="en-GB"/>
              </w:rPr>
              <w:t xml:space="preserve">Approved. </w:t>
            </w:r>
            <w:r w:rsidRPr="009E6FC4">
              <w:rPr>
                <w:rFonts w:ascii="Calibri" w:eastAsia="Times New Roman" w:hAnsi="Calibri" w:cs="Calibri"/>
                <w:b/>
                <w:bCs/>
                <w:color w:val="00B050"/>
                <w:lang w:eastAsia="en-GB"/>
              </w:rPr>
              <w:t>03.06.24.</w:t>
            </w:r>
            <w:r w:rsidRPr="009E6FC4">
              <w:rPr>
                <w:rFonts w:ascii="Calibri" w:eastAsia="Times New Roman" w:hAnsi="Calibri" w:cs="Calibri"/>
                <w:color w:val="00B050"/>
                <w:lang w:eastAsia="en-GB"/>
              </w:rPr>
              <w:t xml:space="preserve"> (15/01526/MIN approved </w:t>
            </w:r>
            <w:proofErr w:type="gramStart"/>
            <w:r w:rsidRPr="009E6FC4">
              <w:rPr>
                <w:rFonts w:ascii="Calibri" w:eastAsia="Times New Roman" w:hAnsi="Calibri" w:cs="Calibri"/>
                <w:color w:val="00B050"/>
                <w:lang w:eastAsia="en-GB"/>
              </w:rPr>
              <w:t>30.06.2016  -</w:t>
            </w:r>
            <w:proofErr w:type="gramEnd"/>
            <w:r w:rsidRPr="009E6FC4">
              <w:rPr>
                <w:rFonts w:ascii="Calibri" w:eastAsia="Times New Roman" w:hAnsi="Calibri" w:cs="Calibri"/>
                <w:color w:val="00B050"/>
                <w:lang w:eastAsia="en-GB"/>
              </w:rPr>
              <w:t xml:space="preserve"> Recovery of 16,000 tonnes of ash, glass, fuel and ceramics. Fuel content 40%, rejects 10%. Ash 1 tonne per M</w:t>
            </w:r>
            <w:r w:rsidRPr="009E6FC4">
              <w:rPr>
                <w:rFonts w:ascii="Calibri" w:eastAsia="Times New Roman" w:hAnsi="Calibri" w:cs="Calibri"/>
                <w:color w:val="00B050"/>
                <w:vertAlign w:val="superscript"/>
                <w:lang w:eastAsia="en-GB"/>
              </w:rPr>
              <w:t>3</w:t>
            </w:r>
            <w:r w:rsidRPr="009E6FC4">
              <w:rPr>
                <w:rFonts w:ascii="Calibri" w:eastAsia="Times New Roman" w:hAnsi="Calibri" w:cs="Calibri"/>
                <w:color w:val="00B050"/>
                <w:lang w:eastAsia="en-GB"/>
              </w:rPr>
              <w:t>. Ash 8,000 tonnes, Fuel 6,400 tonnes, Rejects 1,600 tonnes.)</w:t>
            </w:r>
          </w:p>
        </w:tc>
      </w:tr>
    </w:tbl>
    <w:p w14:paraId="40FC9E20" w14:textId="77777777" w:rsidR="00B5147B" w:rsidRDefault="00B5147B" w:rsidP="00D73374">
      <w:pPr>
        <w:spacing w:after="160" w:line="276" w:lineRule="auto"/>
        <w:rPr>
          <w:sz w:val="20"/>
        </w:rPr>
      </w:pPr>
    </w:p>
    <w:p w14:paraId="1E726C7F" w14:textId="77777777" w:rsidR="00B5147B" w:rsidRDefault="00B5147B" w:rsidP="00D73374">
      <w:pPr>
        <w:spacing w:after="160" w:line="276" w:lineRule="auto"/>
        <w:rPr>
          <w:sz w:val="20"/>
        </w:rPr>
      </w:pPr>
    </w:p>
    <w:p w14:paraId="69B9C465" w14:textId="77777777" w:rsidR="00B5147B" w:rsidRDefault="00B5147B" w:rsidP="00D73374">
      <w:pPr>
        <w:spacing w:after="160" w:line="276" w:lineRule="auto"/>
        <w:rPr>
          <w:sz w:val="20"/>
        </w:rPr>
      </w:pPr>
    </w:p>
    <w:p w14:paraId="436DACA3" w14:textId="77777777" w:rsidR="00B5147B" w:rsidRDefault="00B5147B" w:rsidP="00D73374">
      <w:pPr>
        <w:spacing w:after="160" w:line="276" w:lineRule="auto"/>
        <w:rPr>
          <w:sz w:val="20"/>
        </w:rPr>
      </w:pPr>
    </w:p>
    <w:p w14:paraId="6D449BC8" w14:textId="27C5204B" w:rsidR="00B5147B" w:rsidRDefault="00B5147B" w:rsidP="00B5147B">
      <w:pPr>
        <w:pStyle w:val="Sub-heading"/>
        <w:spacing w:after="240" w:line="276" w:lineRule="auto"/>
        <w:jc w:val="left"/>
        <w:outlineLvl w:val="1"/>
        <w:rPr>
          <w:color w:val="auto"/>
          <w:sz w:val="20"/>
        </w:rPr>
      </w:pPr>
      <w:bookmarkStart w:id="84" w:name="_Toc198549827"/>
      <w:r>
        <w:rPr>
          <w:color w:val="auto"/>
          <w:sz w:val="20"/>
        </w:rPr>
        <w:lastRenderedPageBreak/>
        <w:t>Rotherham</w:t>
      </w:r>
      <w:bookmarkEnd w:id="84"/>
    </w:p>
    <w:tbl>
      <w:tblPr>
        <w:tblW w:w="5000" w:type="pct"/>
        <w:tblLayout w:type="fixed"/>
        <w:tblLook w:val="04A0" w:firstRow="1" w:lastRow="0" w:firstColumn="1" w:lastColumn="0" w:noHBand="0" w:noVBand="1"/>
      </w:tblPr>
      <w:tblGrid>
        <w:gridCol w:w="1836"/>
        <w:gridCol w:w="1419"/>
        <w:gridCol w:w="1701"/>
        <w:gridCol w:w="3827"/>
        <w:gridCol w:w="5635"/>
      </w:tblGrid>
      <w:tr w:rsidR="00B5147B" w:rsidRPr="009E6FC4" w14:paraId="68D7C3DA" w14:textId="77777777" w:rsidTr="00036C14">
        <w:trPr>
          <w:trHeight w:val="300"/>
          <w:tblHeader/>
        </w:trPr>
        <w:tc>
          <w:tcPr>
            <w:tcW w:w="63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C192BC2" w14:textId="77777777" w:rsidR="00B5147B" w:rsidRPr="009E6FC4" w:rsidRDefault="00B5147B" w:rsidP="00036C14">
            <w:pPr>
              <w:spacing w:line="276" w:lineRule="auto"/>
              <w:rPr>
                <w:rFonts w:ascii="Calibri" w:eastAsia="Times New Roman" w:hAnsi="Calibri" w:cs="Calibri"/>
                <w:b/>
                <w:bCs/>
                <w:color w:val="000000"/>
                <w:lang w:eastAsia="en-GB"/>
              </w:rPr>
            </w:pPr>
            <w:r w:rsidRPr="009E6FC4">
              <w:rPr>
                <w:rFonts w:ascii="Calibri" w:eastAsia="Times New Roman" w:hAnsi="Calibri" w:cs="Calibri"/>
                <w:b/>
                <w:bCs/>
                <w:color w:val="000000"/>
                <w:lang w:eastAsia="en-GB"/>
              </w:rPr>
              <w:t>Name</w:t>
            </w:r>
          </w:p>
        </w:tc>
        <w:tc>
          <w:tcPr>
            <w:tcW w:w="492" w:type="pct"/>
            <w:tcBorders>
              <w:top w:val="single" w:sz="4" w:space="0" w:color="auto"/>
              <w:left w:val="nil"/>
              <w:bottom w:val="single" w:sz="4" w:space="0" w:color="auto"/>
              <w:right w:val="single" w:sz="4" w:space="0" w:color="auto"/>
            </w:tcBorders>
            <w:shd w:val="clear" w:color="000000" w:fill="D9D9D9"/>
            <w:vAlign w:val="center"/>
            <w:hideMark/>
          </w:tcPr>
          <w:p w14:paraId="6CB0A517" w14:textId="77777777" w:rsidR="00B5147B" w:rsidRPr="009E6FC4" w:rsidRDefault="00B5147B" w:rsidP="00036C14">
            <w:pPr>
              <w:spacing w:line="276" w:lineRule="auto"/>
              <w:rPr>
                <w:rFonts w:ascii="Calibri" w:eastAsia="Times New Roman" w:hAnsi="Calibri" w:cs="Calibri"/>
                <w:b/>
                <w:bCs/>
                <w:color w:val="000000"/>
                <w:lang w:eastAsia="en-GB"/>
              </w:rPr>
            </w:pPr>
            <w:r w:rsidRPr="009E6FC4">
              <w:rPr>
                <w:rFonts w:ascii="Calibri" w:eastAsia="Times New Roman" w:hAnsi="Calibri" w:cs="Calibri"/>
                <w:b/>
                <w:bCs/>
                <w:color w:val="000000"/>
                <w:lang w:eastAsia="en-GB"/>
              </w:rPr>
              <w:t>Operator</w:t>
            </w:r>
            <w:r>
              <w:rPr>
                <w:rFonts w:ascii="Calibri" w:eastAsia="Times New Roman" w:hAnsi="Calibri" w:cs="Calibri"/>
                <w:b/>
                <w:bCs/>
                <w:color w:val="000000"/>
                <w:lang w:eastAsia="en-GB"/>
              </w:rPr>
              <w:t xml:space="preserve"> </w:t>
            </w:r>
            <w:r w:rsidRPr="009E6FC4">
              <w:rPr>
                <w:rFonts w:ascii="Calibri" w:eastAsia="Times New Roman" w:hAnsi="Calibri" w:cs="Calibri"/>
                <w:b/>
                <w:bCs/>
                <w:color w:val="000000"/>
                <w:lang w:eastAsia="en-GB"/>
              </w:rPr>
              <w:t>/</w:t>
            </w:r>
            <w:r>
              <w:rPr>
                <w:rFonts w:ascii="Calibri" w:eastAsia="Times New Roman" w:hAnsi="Calibri" w:cs="Calibri"/>
                <w:b/>
                <w:bCs/>
                <w:color w:val="000000"/>
                <w:lang w:eastAsia="en-GB"/>
              </w:rPr>
              <w:t xml:space="preserve"> </w:t>
            </w:r>
            <w:r w:rsidRPr="009E6FC4">
              <w:rPr>
                <w:rFonts w:ascii="Calibri" w:eastAsia="Times New Roman" w:hAnsi="Calibri" w:cs="Calibri"/>
                <w:b/>
                <w:bCs/>
                <w:color w:val="000000"/>
                <w:lang w:eastAsia="en-GB"/>
              </w:rPr>
              <w:t>Applicant</w:t>
            </w:r>
          </w:p>
        </w:tc>
        <w:tc>
          <w:tcPr>
            <w:tcW w:w="590" w:type="pct"/>
            <w:tcBorders>
              <w:top w:val="single" w:sz="4" w:space="0" w:color="auto"/>
              <w:left w:val="nil"/>
              <w:bottom w:val="single" w:sz="4" w:space="0" w:color="auto"/>
              <w:right w:val="single" w:sz="4" w:space="0" w:color="auto"/>
            </w:tcBorders>
            <w:shd w:val="clear" w:color="000000" w:fill="D9D9D9"/>
            <w:vAlign w:val="center"/>
            <w:hideMark/>
          </w:tcPr>
          <w:p w14:paraId="4FBA47AF" w14:textId="77777777" w:rsidR="00B5147B" w:rsidRPr="009E6FC4" w:rsidRDefault="00B5147B" w:rsidP="00036C14">
            <w:pPr>
              <w:spacing w:line="276" w:lineRule="auto"/>
              <w:rPr>
                <w:rFonts w:ascii="Calibri" w:eastAsia="Times New Roman" w:hAnsi="Calibri" w:cs="Calibri"/>
                <w:b/>
                <w:bCs/>
                <w:color w:val="000000"/>
                <w:lang w:eastAsia="en-GB"/>
              </w:rPr>
            </w:pPr>
            <w:r w:rsidRPr="009E6FC4">
              <w:rPr>
                <w:rFonts w:ascii="Calibri" w:eastAsia="Times New Roman" w:hAnsi="Calibri" w:cs="Calibri"/>
                <w:b/>
                <w:bCs/>
                <w:color w:val="000000"/>
                <w:lang w:eastAsia="en-GB"/>
              </w:rPr>
              <w:t>App</w:t>
            </w:r>
            <w:r>
              <w:rPr>
                <w:rFonts w:ascii="Calibri" w:eastAsia="Times New Roman" w:hAnsi="Calibri" w:cs="Calibri"/>
                <w:b/>
                <w:bCs/>
                <w:color w:val="000000"/>
                <w:lang w:eastAsia="en-GB"/>
              </w:rPr>
              <w:t>lication N</w:t>
            </w:r>
            <w:r w:rsidRPr="009E6FC4">
              <w:rPr>
                <w:rFonts w:ascii="Calibri" w:eastAsia="Times New Roman" w:hAnsi="Calibri" w:cs="Calibri"/>
                <w:b/>
                <w:bCs/>
                <w:color w:val="000000"/>
                <w:lang w:eastAsia="en-GB"/>
              </w:rPr>
              <w:t>umber</w:t>
            </w:r>
          </w:p>
        </w:tc>
        <w:tc>
          <w:tcPr>
            <w:tcW w:w="1327" w:type="pct"/>
            <w:tcBorders>
              <w:top w:val="single" w:sz="4" w:space="0" w:color="auto"/>
              <w:left w:val="nil"/>
              <w:bottom w:val="single" w:sz="4" w:space="0" w:color="auto"/>
              <w:right w:val="single" w:sz="4" w:space="0" w:color="auto"/>
            </w:tcBorders>
            <w:shd w:val="clear" w:color="000000" w:fill="D9D9D9"/>
            <w:vAlign w:val="center"/>
            <w:hideMark/>
          </w:tcPr>
          <w:p w14:paraId="385CE6CE" w14:textId="77777777" w:rsidR="00B5147B" w:rsidRPr="009E6FC4" w:rsidRDefault="00B5147B" w:rsidP="00036C14">
            <w:pPr>
              <w:spacing w:line="276" w:lineRule="auto"/>
              <w:rPr>
                <w:rFonts w:ascii="Calibri" w:eastAsia="Times New Roman" w:hAnsi="Calibri" w:cs="Calibri"/>
                <w:b/>
                <w:bCs/>
                <w:color w:val="000000"/>
                <w:lang w:eastAsia="en-GB"/>
              </w:rPr>
            </w:pPr>
            <w:r w:rsidRPr="009E6FC4">
              <w:rPr>
                <w:rFonts w:ascii="Calibri" w:eastAsia="Times New Roman" w:hAnsi="Calibri" w:cs="Calibri"/>
                <w:b/>
                <w:bCs/>
                <w:color w:val="000000"/>
                <w:lang w:eastAsia="en-GB"/>
              </w:rPr>
              <w:t>Details</w:t>
            </w:r>
          </w:p>
        </w:tc>
        <w:tc>
          <w:tcPr>
            <w:tcW w:w="1954" w:type="pct"/>
            <w:tcBorders>
              <w:top w:val="single" w:sz="4" w:space="0" w:color="auto"/>
              <w:left w:val="nil"/>
              <w:bottom w:val="single" w:sz="4" w:space="0" w:color="auto"/>
              <w:right w:val="single" w:sz="4" w:space="0" w:color="auto"/>
            </w:tcBorders>
            <w:shd w:val="clear" w:color="000000" w:fill="D9D9D9"/>
            <w:vAlign w:val="center"/>
            <w:hideMark/>
          </w:tcPr>
          <w:p w14:paraId="5F0F4BB2" w14:textId="77777777" w:rsidR="00B5147B" w:rsidRPr="009E6FC4" w:rsidRDefault="00B5147B" w:rsidP="00036C14">
            <w:pPr>
              <w:spacing w:line="276" w:lineRule="auto"/>
              <w:rPr>
                <w:rFonts w:ascii="Calibri" w:eastAsia="Times New Roman" w:hAnsi="Calibri" w:cs="Calibri"/>
                <w:b/>
                <w:bCs/>
                <w:color w:val="000000"/>
                <w:lang w:eastAsia="en-GB"/>
              </w:rPr>
            </w:pPr>
            <w:r w:rsidRPr="009E6FC4">
              <w:rPr>
                <w:rFonts w:ascii="Calibri" w:eastAsia="Times New Roman" w:hAnsi="Calibri" w:cs="Calibri"/>
                <w:b/>
                <w:bCs/>
                <w:color w:val="000000"/>
                <w:lang w:eastAsia="en-GB"/>
              </w:rPr>
              <w:t>Notes</w:t>
            </w:r>
          </w:p>
        </w:tc>
      </w:tr>
      <w:tr w:rsidR="00D94A69" w:rsidRPr="009E6FC4" w14:paraId="0B6B0ECD" w14:textId="77777777" w:rsidTr="00D94A69">
        <w:trPr>
          <w:trHeight w:val="300"/>
          <w:tblHeader/>
        </w:trPr>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11A530F0" w14:textId="3A2A1618" w:rsidR="00D94A69" w:rsidRDefault="00D94A69" w:rsidP="00D94A69">
            <w:pPr>
              <w:spacing w:line="276" w:lineRule="auto"/>
            </w:pPr>
            <w:r>
              <w:t xml:space="preserve">Former Tata Steel </w:t>
            </w:r>
            <w:proofErr w:type="spellStart"/>
            <w:r>
              <w:t>Uk</w:t>
            </w:r>
            <w:proofErr w:type="spellEnd"/>
            <w:r>
              <w:t xml:space="preserve"> Ltd</w:t>
            </w:r>
          </w:p>
          <w:p w14:paraId="4BB03C1A" w14:textId="238702EB" w:rsidR="00D94A69" w:rsidRDefault="00D94A69" w:rsidP="00D94A69">
            <w:pPr>
              <w:spacing w:line="276" w:lineRule="auto"/>
            </w:pPr>
            <w:proofErr w:type="spellStart"/>
            <w:r>
              <w:t>Aldwarke</w:t>
            </w:r>
            <w:proofErr w:type="spellEnd"/>
            <w:r>
              <w:t xml:space="preserve"> Lane </w:t>
            </w:r>
            <w:proofErr w:type="spellStart"/>
            <w:r>
              <w:t>Aldwarke</w:t>
            </w:r>
            <w:proofErr w:type="spellEnd"/>
            <w:r>
              <w:t xml:space="preserve"> </w:t>
            </w:r>
          </w:p>
        </w:tc>
        <w:tc>
          <w:tcPr>
            <w:tcW w:w="492" w:type="pct"/>
            <w:tcBorders>
              <w:top w:val="single" w:sz="4" w:space="0" w:color="auto"/>
              <w:left w:val="nil"/>
              <w:bottom w:val="single" w:sz="4" w:space="0" w:color="auto"/>
              <w:right w:val="single" w:sz="4" w:space="0" w:color="auto"/>
            </w:tcBorders>
            <w:shd w:val="clear" w:color="auto" w:fill="auto"/>
            <w:vAlign w:val="center"/>
          </w:tcPr>
          <w:p w14:paraId="42FE8823" w14:textId="48A2BBE2" w:rsidR="00D94A69" w:rsidRDefault="00D94A69" w:rsidP="00D94A69">
            <w:pPr>
              <w:spacing w:line="276" w:lineRule="auto"/>
            </w:pPr>
            <w:r>
              <w:t>Liberty Speciality Steel</w:t>
            </w:r>
          </w:p>
        </w:tc>
        <w:tc>
          <w:tcPr>
            <w:tcW w:w="590" w:type="pct"/>
            <w:tcBorders>
              <w:top w:val="single" w:sz="4" w:space="0" w:color="auto"/>
              <w:left w:val="nil"/>
              <w:bottom w:val="single" w:sz="4" w:space="0" w:color="auto"/>
              <w:right w:val="single" w:sz="4" w:space="0" w:color="auto"/>
            </w:tcBorders>
            <w:shd w:val="clear" w:color="auto" w:fill="auto"/>
            <w:vAlign w:val="center"/>
          </w:tcPr>
          <w:p w14:paraId="39B986A0" w14:textId="07AC01D0" w:rsidR="00D94A69" w:rsidRDefault="00D94A69" w:rsidP="00D94A69">
            <w:pPr>
              <w:spacing w:line="276" w:lineRule="auto"/>
            </w:pPr>
            <w:r>
              <w:t>RB2021/2151</w:t>
            </w:r>
          </w:p>
        </w:tc>
        <w:tc>
          <w:tcPr>
            <w:tcW w:w="1327" w:type="pct"/>
            <w:tcBorders>
              <w:top w:val="single" w:sz="4" w:space="0" w:color="auto"/>
              <w:left w:val="nil"/>
              <w:bottom w:val="single" w:sz="4" w:space="0" w:color="auto"/>
              <w:right w:val="single" w:sz="4" w:space="0" w:color="auto"/>
            </w:tcBorders>
            <w:shd w:val="clear" w:color="auto" w:fill="auto"/>
            <w:vAlign w:val="center"/>
          </w:tcPr>
          <w:p w14:paraId="1D6E6EC9" w14:textId="4FD8C00A" w:rsidR="00D94A69" w:rsidRDefault="00D94A69" w:rsidP="00D94A69">
            <w:pPr>
              <w:spacing w:line="276" w:lineRule="auto"/>
            </w:pPr>
            <w:r>
              <w:t xml:space="preserve">Application to Vary Condition 02 (to extend expiry date for cease of importation and restoration) imposed by RB2011/1213 at </w:t>
            </w:r>
          </w:p>
        </w:tc>
        <w:tc>
          <w:tcPr>
            <w:tcW w:w="1954" w:type="pct"/>
            <w:tcBorders>
              <w:top w:val="single" w:sz="4" w:space="0" w:color="auto"/>
              <w:left w:val="nil"/>
              <w:bottom w:val="single" w:sz="4" w:space="0" w:color="auto"/>
              <w:right w:val="single" w:sz="4" w:space="0" w:color="auto"/>
            </w:tcBorders>
            <w:shd w:val="clear" w:color="auto" w:fill="auto"/>
            <w:vAlign w:val="center"/>
          </w:tcPr>
          <w:p w14:paraId="7ED2BCAC" w14:textId="66CD7BFB" w:rsidR="00D94A69" w:rsidRDefault="00D94A69" w:rsidP="00D94A69">
            <w:pPr>
              <w:spacing w:line="276" w:lineRule="auto"/>
            </w:pPr>
            <w:r>
              <w:t xml:space="preserve">Approved on 11.02.22 </w:t>
            </w:r>
          </w:p>
          <w:p w14:paraId="309CD383" w14:textId="0C50909F" w:rsidR="00D94A69" w:rsidRPr="00D94A69" w:rsidRDefault="00D94A69" w:rsidP="00D94A69">
            <w:pPr>
              <w:spacing w:line="276" w:lineRule="auto"/>
              <w:rPr>
                <w:color w:val="70AD47" w:themeColor="accent6"/>
              </w:rPr>
            </w:pPr>
            <w:r>
              <w:t xml:space="preserve">At the end of the </w:t>
            </w:r>
            <w:proofErr w:type="gramStart"/>
            <w:r>
              <w:t>7 year</w:t>
            </w:r>
            <w:proofErr w:type="gramEnd"/>
            <w:r>
              <w:t xml:space="preserve"> period (11 February 2029), all importation of fill material shall cease and the site shall have been restored and treated in accordance with the details shown on the approved plan and included in the conditions listed below, unless otherwise agreed in writing with the Local Planning Authority. </w:t>
            </w:r>
          </w:p>
        </w:tc>
      </w:tr>
      <w:tr w:rsidR="00D94A69" w:rsidRPr="009E6FC4" w14:paraId="50D2291E" w14:textId="77777777" w:rsidTr="00D94A69">
        <w:trPr>
          <w:trHeight w:val="300"/>
          <w:tblHeader/>
        </w:trPr>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7635F85D" w14:textId="3038D312" w:rsidR="00D94A69" w:rsidRDefault="00D94A69" w:rsidP="00D94A69">
            <w:pPr>
              <w:spacing w:line="276" w:lineRule="auto"/>
            </w:pPr>
            <w:proofErr w:type="spellStart"/>
            <w:r>
              <w:t>Harrycroft</w:t>
            </w:r>
            <w:proofErr w:type="spellEnd"/>
            <w:r>
              <w:t xml:space="preserve"> Quarry</w:t>
            </w:r>
          </w:p>
          <w:p w14:paraId="6132A1D9" w14:textId="0F85EBAB" w:rsidR="00D94A69" w:rsidRDefault="00D94A69" w:rsidP="00D94A69">
            <w:pPr>
              <w:spacing w:line="276" w:lineRule="auto"/>
            </w:pPr>
            <w:r>
              <w:t>Worksop Road Lindrick</w:t>
            </w:r>
          </w:p>
        </w:tc>
        <w:tc>
          <w:tcPr>
            <w:tcW w:w="492" w:type="pct"/>
            <w:tcBorders>
              <w:top w:val="single" w:sz="4" w:space="0" w:color="auto"/>
              <w:left w:val="nil"/>
              <w:bottom w:val="single" w:sz="4" w:space="0" w:color="auto"/>
              <w:right w:val="single" w:sz="4" w:space="0" w:color="auto"/>
            </w:tcBorders>
            <w:shd w:val="clear" w:color="auto" w:fill="auto"/>
            <w:vAlign w:val="center"/>
          </w:tcPr>
          <w:p w14:paraId="6E77FDFC" w14:textId="1FAEB78B" w:rsidR="00D94A69" w:rsidRDefault="00D94A69" w:rsidP="00D94A69">
            <w:pPr>
              <w:spacing w:line="276" w:lineRule="auto"/>
            </w:pPr>
            <w:r>
              <w:t xml:space="preserve">Tarmac </w:t>
            </w:r>
          </w:p>
        </w:tc>
        <w:tc>
          <w:tcPr>
            <w:tcW w:w="590" w:type="pct"/>
            <w:tcBorders>
              <w:top w:val="single" w:sz="4" w:space="0" w:color="auto"/>
              <w:left w:val="nil"/>
              <w:bottom w:val="single" w:sz="4" w:space="0" w:color="auto"/>
              <w:right w:val="single" w:sz="4" w:space="0" w:color="auto"/>
            </w:tcBorders>
            <w:shd w:val="clear" w:color="auto" w:fill="auto"/>
            <w:vAlign w:val="center"/>
          </w:tcPr>
          <w:p w14:paraId="0C57ABEE" w14:textId="0CC420B9" w:rsidR="00D94A69" w:rsidRDefault="00D94A69" w:rsidP="00D94A69">
            <w:pPr>
              <w:spacing w:line="276" w:lineRule="auto"/>
            </w:pPr>
            <w:r>
              <w:t>RB2023/1576</w:t>
            </w:r>
          </w:p>
        </w:tc>
        <w:tc>
          <w:tcPr>
            <w:tcW w:w="1327" w:type="pct"/>
            <w:tcBorders>
              <w:top w:val="single" w:sz="4" w:space="0" w:color="auto"/>
              <w:left w:val="nil"/>
              <w:bottom w:val="single" w:sz="4" w:space="0" w:color="auto"/>
              <w:right w:val="single" w:sz="4" w:space="0" w:color="auto"/>
            </w:tcBorders>
            <w:shd w:val="clear" w:color="auto" w:fill="auto"/>
            <w:vAlign w:val="center"/>
          </w:tcPr>
          <w:p w14:paraId="1A6B74D9" w14:textId="5B2808C9" w:rsidR="00D94A69" w:rsidRDefault="00D94A69" w:rsidP="00D94A69">
            <w:pPr>
              <w:spacing w:line="276" w:lineRule="auto"/>
            </w:pPr>
            <w:r>
              <w:t xml:space="preserve">Discharge of condition 43 imposed by RB2016/1539 - </w:t>
            </w:r>
          </w:p>
        </w:tc>
        <w:tc>
          <w:tcPr>
            <w:tcW w:w="1954" w:type="pct"/>
            <w:tcBorders>
              <w:top w:val="single" w:sz="4" w:space="0" w:color="auto"/>
              <w:left w:val="nil"/>
              <w:bottom w:val="single" w:sz="4" w:space="0" w:color="auto"/>
              <w:right w:val="single" w:sz="4" w:space="0" w:color="auto"/>
            </w:tcBorders>
            <w:shd w:val="clear" w:color="auto" w:fill="auto"/>
            <w:vAlign w:val="center"/>
          </w:tcPr>
          <w:p w14:paraId="29E5EDF9" w14:textId="741A3B60" w:rsidR="00D94A69" w:rsidRDefault="00D94A69" w:rsidP="00D94A69">
            <w:pPr>
              <w:spacing w:line="276" w:lineRule="auto"/>
              <w:rPr>
                <w:color w:val="70AD47" w:themeColor="accent6"/>
              </w:rPr>
            </w:pPr>
            <w:r w:rsidRPr="00D94A69">
              <w:rPr>
                <w:color w:val="70AD47" w:themeColor="accent6"/>
              </w:rPr>
              <w:t>Discharged</w:t>
            </w:r>
            <w:r>
              <w:rPr>
                <w:color w:val="70AD47" w:themeColor="accent6"/>
              </w:rPr>
              <w:t xml:space="preserve"> </w:t>
            </w:r>
            <w:r w:rsidRPr="00D94A69">
              <w:rPr>
                <w:color w:val="70AD47" w:themeColor="accent6"/>
              </w:rPr>
              <w:t xml:space="preserve">on 08.12.23 </w:t>
            </w:r>
          </w:p>
          <w:p w14:paraId="276E62D4" w14:textId="74E732F5" w:rsidR="00D94A69" w:rsidRPr="00D94A69" w:rsidRDefault="00D94A69" w:rsidP="00D94A69">
            <w:pPr>
              <w:spacing w:line="276" w:lineRule="auto"/>
              <w:rPr>
                <w:color w:val="70AD47" w:themeColor="accent6"/>
              </w:rPr>
            </w:pPr>
            <w:r w:rsidRPr="00D94A69">
              <w:rPr>
                <w:color w:val="70AD47" w:themeColor="accent6"/>
              </w:rPr>
              <w:t xml:space="preserve">Condition 43 can be discharged subject to the recommendation of the </w:t>
            </w:r>
            <w:proofErr w:type="spellStart"/>
            <w:r w:rsidRPr="00D94A69">
              <w:rPr>
                <w:color w:val="70AD47" w:themeColor="accent6"/>
              </w:rPr>
              <w:t>Whitcher</w:t>
            </w:r>
            <w:proofErr w:type="spellEnd"/>
            <w:r w:rsidRPr="00D94A69">
              <w:rPr>
                <w:color w:val="70AD47" w:themeColor="accent6"/>
              </w:rPr>
              <w:t xml:space="preserve"> Wildlife Ecology report, being implemented. </w:t>
            </w:r>
          </w:p>
        </w:tc>
      </w:tr>
      <w:tr w:rsidR="00D94A69" w:rsidRPr="009E6FC4" w14:paraId="066B9598" w14:textId="77777777" w:rsidTr="00D94A69">
        <w:trPr>
          <w:trHeight w:val="300"/>
          <w:tblHeader/>
        </w:trPr>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3E8D83A4" w14:textId="0D06CA4D" w:rsidR="00D94A69" w:rsidRDefault="00D94A69" w:rsidP="00D94A69">
            <w:pPr>
              <w:spacing w:line="276" w:lineRule="auto"/>
            </w:pPr>
            <w:r>
              <w:t>Maltby Colliery/Stainton Tip and Pit Yard Tickhill Road Maltby</w:t>
            </w:r>
          </w:p>
        </w:tc>
        <w:tc>
          <w:tcPr>
            <w:tcW w:w="492" w:type="pct"/>
            <w:tcBorders>
              <w:top w:val="single" w:sz="4" w:space="0" w:color="auto"/>
              <w:left w:val="nil"/>
              <w:bottom w:val="single" w:sz="4" w:space="0" w:color="auto"/>
              <w:right w:val="single" w:sz="4" w:space="0" w:color="auto"/>
            </w:tcBorders>
            <w:shd w:val="clear" w:color="auto" w:fill="auto"/>
            <w:vAlign w:val="center"/>
          </w:tcPr>
          <w:p w14:paraId="5600058A" w14:textId="7B692335" w:rsidR="00D94A69" w:rsidRDefault="00F8410B" w:rsidP="00D94A69">
            <w:pPr>
              <w:spacing w:line="276" w:lineRule="auto"/>
            </w:pPr>
            <w:r>
              <w:t xml:space="preserve">Maltby Management Limited </w:t>
            </w:r>
          </w:p>
        </w:tc>
        <w:tc>
          <w:tcPr>
            <w:tcW w:w="590" w:type="pct"/>
            <w:tcBorders>
              <w:top w:val="single" w:sz="4" w:space="0" w:color="auto"/>
              <w:left w:val="nil"/>
              <w:bottom w:val="single" w:sz="4" w:space="0" w:color="auto"/>
              <w:right w:val="single" w:sz="4" w:space="0" w:color="auto"/>
            </w:tcBorders>
            <w:shd w:val="clear" w:color="auto" w:fill="auto"/>
            <w:vAlign w:val="center"/>
          </w:tcPr>
          <w:p w14:paraId="59E16C9A" w14:textId="3E7326CD" w:rsidR="00D94A69" w:rsidRDefault="00D94A69" w:rsidP="00D94A69">
            <w:pPr>
              <w:spacing w:line="276" w:lineRule="auto"/>
            </w:pPr>
            <w:r>
              <w:t xml:space="preserve">RB2024/1700 </w:t>
            </w:r>
          </w:p>
        </w:tc>
        <w:tc>
          <w:tcPr>
            <w:tcW w:w="1327" w:type="pct"/>
            <w:tcBorders>
              <w:top w:val="single" w:sz="4" w:space="0" w:color="auto"/>
              <w:left w:val="nil"/>
              <w:bottom w:val="single" w:sz="4" w:space="0" w:color="auto"/>
              <w:right w:val="single" w:sz="4" w:space="0" w:color="auto"/>
            </w:tcBorders>
            <w:shd w:val="clear" w:color="auto" w:fill="auto"/>
            <w:vAlign w:val="center"/>
          </w:tcPr>
          <w:p w14:paraId="3810383F" w14:textId="56DDF38C" w:rsidR="00D94A69" w:rsidRDefault="00F8410B" w:rsidP="00D94A69">
            <w:pPr>
              <w:spacing w:line="276" w:lineRule="auto"/>
            </w:pPr>
            <w:r>
              <w:t>Revised reclamation of the colliery tip and proposed quarry with backfill to form a development platform for employment use on the northeast part of the pit yard</w:t>
            </w:r>
          </w:p>
        </w:tc>
        <w:tc>
          <w:tcPr>
            <w:tcW w:w="1954" w:type="pct"/>
            <w:tcBorders>
              <w:top w:val="single" w:sz="4" w:space="0" w:color="auto"/>
              <w:left w:val="nil"/>
              <w:bottom w:val="single" w:sz="4" w:space="0" w:color="auto"/>
              <w:right w:val="single" w:sz="4" w:space="0" w:color="auto"/>
            </w:tcBorders>
            <w:shd w:val="clear" w:color="auto" w:fill="auto"/>
            <w:vAlign w:val="center"/>
          </w:tcPr>
          <w:p w14:paraId="614A9CBB" w14:textId="120FF1A7" w:rsidR="00D94A69" w:rsidRPr="00D94A69" w:rsidRDefault="00F8410B" w:rsidP="00D94A69">
            <w:pPr>
              <w:spacing w:line="276" w:lineRule="auto"/>
              <w:rPr>
                <w:color w:val="70AD47" w:themeColor="accent6"/>
              </w:rPr>
            </w:pPr>
            <w:r>
              <w:rPr>
                <w:color w:val="70AD47" w:themeColor="accent6"/>
              </w:rPr>
              <w:t>Pending</w:t>
            </w:r>
          </w:p>
        </w:tc>
      </w:tr>
    </w:tbl>
    <w:p w14:paraId="4B2B9DFF" w14:textId="64C40587" w:rsidR="00453CF8" w:rsidRDefault="00453CF8" w:rsidP="00D73374">
      <w:pPr>
        <w:spacing w:after="160" w:line="276" w:lineRule="auto"/>
        <w:rPr>
          <w:rFonts w:ascii="Arial" w:eastAsia="Times New Roman" w:hAnsi="Arial" w:cs="Arial"/>
          <w:b/>
          <w:sz w:val="20"/>
          <w:szCs w:val="20"/>
        </w:rPr>
      </w:pPr>
    </w:p>
    <w:p w14:paraId="20D77AD0" w14:textId="77777777" w:rsidR="00DA7A65" w:rsidRDefault="00DA7A65">
      <w:pPr>
        <w:spacing w:after="160" w:line="259" w:lineRule="auto"/>
        <w:rPr>
          <w:rFonts w:ascii="Arial" w:eastAsia="Times New Roman" w:hAnsi="Arial" w:cs="Arial"/>
          <w:b/>
          <w:sz w:val="20"/>
          <w:szCs w:val="20"/>
        </w:rPr>
      </w:pPr>
      <w:r>
        <w:rPr>
          <w:sz w:val="20"/>
        </w:rPr>
        <w:br w:type="page"/>
      </w:r>
    </w:p>
    <w:p w14:paraId="7A3A4870" w14:textId="5CC2CC7B" w:rsidR="00AC7A20" w:rsidRDefault="00B61B9C" w:rsidP="00D73374">
      <w:pPr>
        <w:pStyle w:val="Sub-heading"/>
        <w:spacing w:before="240" w:after="240" w:line="276" w:lineRule="auto"/>
        <w:jc w:val="left"/>
        <w:outlineLvl w:val="1"/>
        <w:rPr>
          <w:sz w:val="20"/>
        </w:rPr>
      </w:pPr>
      <w:bookmarkStart w:id="85" w:name="_Toc198549828"/>
      <w:r>
        <w:rPr>
          <w:color w:val="auto"/>
          <w:sz w:val="20"/>
        </w:rPr>
        <w:lastRenderedPageBreak/>
        <w:t xml:space="preserve">Appendix </w:t>
      </w:r>
      <w:r w:rsidR="00A3314B">
        <w:rPr>
          <w:color w:val="auto"/>
          <w:sz w:val="20"/>
        </w:rPr>
        <w:t>Two</w:t>
      </w:r>
      <w:r w:rsidR="00883B6E">
        <w:rPr>
          <w:color w:val="auto"/>
          <w:sz w:val="20"/>
        </w:rPr>
        <w:t xml:space="preserve"> </w:t>
      </w:r>
      <w:r w:rsidR="00175412">
        <w:rPr>
          <w:color w:val="auto"/>
          <w:sz w:val="20"/>
        </w:rPr>
        <w:t>–</w:t>
      </w:r>
      <w:r w:rsidR="00883B6E">
        <w:rPr>
          <w:color w:val="auto"/>
          <w:sz w:val="20"/>
        </w:rPr>
        <w:t xml:space="preserve"> </w:t>
      </w:r>
      <w:r w:rsidR="00994D93" w:rsidRPr="00432D8A">
        <w:rPr>
          <w:color w:val="auto"/>
          <w:sz w:val="20"/>
        </w:rPr>
        <w:t>Consultation Comments</w:t>
      </w:r>
      <w:bookmarkEnd w:id="85"/>
      <w:r w:rsidR="00453CF8" w:rsidRPr="00432D8A">
        <w:rPr>
          <w:color w:val="auto"/>
          <w:sz w:val="20"/>
        </w:rPr>
        <w:t xml:space="preserve"> </w:t>
      </w:r>
    </w:p>
    <w:tbl>
      <w:tblPr>
        <w:tblStyle w:val="TableGrid"/>
        <w:tblW w:w="0" w:type="auto"/>
        <w:tblLook w:val="04A0" w:firstRow="1" w:lastRow="0" w:firstColumn="1" w:lastColumn="0" w:noHBand="0" w:noVBand="1"/>
        <w:tblCaption w:val="Table of consultation comments and replies"/>
        <w:tblDescription w:val="Table of consultation comments and replies"/>
      </w:tblPr>
      <w:tblGrid>
        <w:gridCol w:w="4606"/>
        <w:gridCol w:w="4508"/>
      </w:tblGrid>
      <w:tr w:rsidR="00453CF8" w:rsidRPr="001364EC" w14:paraId="087268F7" w14:textId="77777777" w:rsidTr="00432D8A">
        <w:trPr>
          <w:tblHeader/>
        </w:trPr>
        <w:tc>
          <w:tcPr>
            <w:tcW w:w="4508" w:type="dxa"/>
          </w:tcPr>
          <w:p w14:paraId="63591CB2" w14:textId="77777777" w:rsidR="00453CF8" w:rsidRPr="00465F49" w:rsidRDefault="00453CF8" w:rsidP="00D73374">
            <w:pPr>
              <w:spacing w:line="276" w:lineRule="auto"/>
              <w:rPr>
                <w:rFonts w:ascii="Arial" w:eastAsia="Times New Roman" w:hAnsi="Arial" w:cs="Arial"/>
                <w:b/>
                <w:sz w:val="20"/>
                <w:szCs w:val="20"/>
              </w:rPr>
            </w:pPr>
            <w:r w:rsidRPr="00465F49">
              <w:rPr>
                <w:rFonts w:ascii="Arial" w:eastAsia="Times New Roman" w:hAnsi="Arial" w:cs="Arial"/>
                <w:b/>
                <w:sz w:val="20"/>
                <w:szCs w:val="20"/>
              </w:rPr>
              <w:t xml:space="preserve">Consultation comment </w:t>
            </w:r>
          </w:p>
        </w:tc>
        <w:tc>
          <w:tcPr>
            <w:tcW w:w="4508" w:type="dxa"/>
          </w:tcPr>
          <w:p w14:paraId="6CAEC96E" w14:textId="77777777" w:rsidR="00453CF8" w:rsidRPr="001364EC" w:rsidRDefault="00453CF8" w:rsidP="00D73374">
            <w:pPr>
              <w:spacing w:line="276" w:lineRule="auto"/>
              <w:rPr>
                <w:rFonts w:ascii="Arial" w:eastAsia="Times New Roman" w:hAnsi="Arial" w:cs="Arial"/>
                <w:b/>
                <w:sz w:val="20"/>
                <w:szCs w:val="20"/>
              </w:rPr>
            </w:pPr>
            <w:r w:rsidRPr="001364EC">
              <w:rPr>
                <w:rFonts w:ascii="Arial" w:eastAsia="Times New Roman" w:hAnsi="Arial" w:cs="Arial"/>
                <w:b/>
                <w:sz w:val="20"/>
                <w:szCs w:val="20"/>
              </w:rPr>
              <w:t>Response</w:t>
            </w:r>
          </w:p>
        </w:tc>
      </w:tr>
      <w:tr w:rsidR="00453CF8" w:rsidRPr="00B61B9C" w14:paraId="1B6D7F24" w14:textId="77777777" w:rsidTr="00453CF8">
        <w:tc>
          <w:tcPr>
            <w:tcW w:w="4508" w:type="dxa"/>
          </w:tcPr>
          <w:p w14:paraId="1CF3A48B" w14:textId="77777777" w:rsidR="00090054" w:rsidRPr="00465F49" w:rsidRDefault="00B16AA4" w:rsidP="00D73374">
            <w:pPr>
              <w:spacing w:line="276" w:lineRule="auto"/>
              <w:rPr>
                <w:rFonts w:ascii="Arial" w:hAnsi="Arial" w:cs="Arial"/>
                <w:sz w:val="20"/>
                <w:szCs w:val="20"/>
              </w:rPr>
            </w:pPr>
            <w:r w:rsidRPr="00465F49">
              <w:rPr>
                <w:rFonts w:ascii="Arial" w:hAnsi="Arial" w:cs="Arial"/>
                <w:sz w:val="20"/>
                <w:szCs w:val="20"/>
              </w:rPr>
              <w:t xml:space="preserve">MPA COMMENTS ON DONCASTER AND ROTHERHAM LAA 2024 </w:t>
            </w:r>
          </w:p>
          <w:p w14:paraId="25A5AE0A" w14:textId="77777777" w:rsidR="00090054" w:rsidRPr="00465F49" w:rsidRDefault="00B16AA4" w:rsidP="00D73374">
            <w:pPr>
              <w:spacing w:line="276" w:lineRule="auto"/>
              <w:rPr>
                <w:rFonts w:ascii="Arial" w:hAnsi="Arial" w:cs="Arial"/>
                <w:sz w:val="20"/>
                <w:szCs w:val="20"/>
              </w:rPr>
            </w:pPr>
            <w:r w:rsidRPr="00465F49">
              <w:rPr>
                <w:rFonts w:ascii="Arial" w:hAnsi="Arial" w:cs="Arial"/>
                <w:sz w:val="20"/>
                <w:szCs w:val="20"/>
              </w:rPr>
              <w:t xml:space="preserve">1. Page 5 Table 1 – it would be helpful to include information on the length of planning permissions and whether they have any output restrictions </w:t>
            </w:r>
          </w:p>
          <w:p w14:paraId="6A67AD08" w14:textId="77777777" w:rsidR="00090054" w:rsidRPr="00465F49" w:rsidRDefault="00B16AA4" w:rsidP="00D73374">
            <w:pPr>
              <w:spacing w:line="276" w:lineRule="auto"/>
              <w:rPr>
                <w:rFonts w:ascii="Arial" w:hAnsi="Arial" w:cs="Arial"/>
                <w:sz w:val="20"/>
                <w:szCs w:val="20"/>
              </w:rPr>
            </w:pPr>
            <w:r w:rsidRPr="00465F49">
              <w:rPr>
                <w:rFonts w:ascii="Arial" w:hAnsi="Arial" w:cs="Arial"/>
                <w:sz w:val="20"/>
                <w:szCs w:val="20"/>
              </w:rPr>
              <w:t xml:space="preserve">2. Page 6 Table 2 – As above </w:t>
            </w:r>
          </w:p>
          <w:p w14:paraId="415E3DE4" w14:textId="77777777" w:rsidR="00090054" w:rsidRPr="00465F49" w:rsidRDefault="00B16AA4" w:rsidP="00D73374">
            <w:pPr>
              <w:spacing w:line="276" w:lineRule="auto"/>
              <w:rPr>
                <w:rFonts w:ascii="Arial" w:hAnsi="Arial" w:cs="Arial"/>
                <w:sz w:val="20"/>
                <w:szCs w:val="20"/>
              </w:rPr>
            </w:pPr>
            <w:r w:rsidRPr="00465F49">
              <w:rPr>
                <w:rFonts w:ascii="Arial" w:hAnsi="Arial" w:cs="Arial"/>
                <w:sz w:val="20"/>
                <w:szCs w:val="20"/>
              </w:rPr>
              <w:t xml:space="preserve">3. Table 3 Sand and Gravel production – should supporting text note that sales show an upward trend </w:t>
            </w:r>
          </w:p>
          <w:p w14:paraId="33A9FBBC" w14:textId="77777777" w:rsidR="00090054" w:rsidRPr="00465F49" w:rsidRDefault="00B16AA4" w:rsidP="00D73374">
            <w:pPr>
              <w:spacing w:line="276" w:lineRule="auto"/>
              <w:rPr>
                <w:rFonts w:ascii="Arial" w:hAnsi="Arial" w:cs="Arial"/>
                <w:sz w:val="20"/>
                <w:szCs w:val="20"/>
              </w:rPr>
            </w:pPr>
            <w:r w:rsidRPr="00465F49">
              <w:rPr>
                <w:rFonts w:ascii="Arial" w:hAnsi="Arial" w:cs="Arial"/>
                <w:sz w:val="20"/>
                <w:szCs w:val="20"/>
              </w:rPr>
              <w:t xml:space="preserve">4. Page 9 para 19 – the relevant paragraphs in the 2016 LAA are 31-33 </w:t>
            </w:r>
          </w:p>
          <w:p w14:paraId="1CEEABC0" w14:textId="03D32621" w:rsidR="00090054" w:rsidRPr="00465F49" w:rsidRDefault="00B16AA4" w:rsidP="00D73374">
            <w:pPr>
              <w:spacing w:line="276" w:lineRule="auto"/>
              <w:rPr>
                <w:rFonts w:ascii="Arial" w:hAnsi="Arial" w:cs="Arial"/>
                <w:sz w:val="20"/>
                <w:szCs w:val="20"/>
              </w:rPr>
            </w:pPr>
            <w:r w:rsidRPr="00465F49">
              <w:rPr>
                <w:rFonts w:ascii="Arial" w:hAnsi="Arial" w:cs="Arial"/>
                <w:sz w:val="20"/>
                <w:szCs w:val="20"/>
              </w:rPr>
              <w:t xml:space="preserve">5. Paras 20 and 21 – there needs to be some consideration of the length of the permissions and whether new permissions may be required to maintain productive capacity </w:t>
            </w:r>
            <w:r w:rsidR="000E192D" w:rsidRPr="00465F49">
              <w:rPr>
                <w:rFonts w:ascii="Arial" w:hAnsi="Arial" w:cs="Arial"/>
                <w:sz w:val="20"/>
                <w:szCs w:val="20"/>
              </w:rPr>
              <w:t>n</w:t>
            </w:r>
            <w:r w:rsidRPr="00465F49">
              <w:rPr>
                <w:rFonts w:ascii="Arial" w:hAnsi="Arial" w:cs="Arial"/>
                <w:sz w:val="20"/>
                <w:szCs w:val="20"/>
              </w:rPr>
              <w:t xml:space="preserve">otwithstanding the length of the landbank </w:t>
            </w:r>
          </w:p>
          <w:p w14:paraId="0334F939" w14:textId="77777777" w:rsidR="000E192D" w:rsidRPr="00465F49" w:rsidRDefault="00B16AA4" w:rsidP="00D73374">
            <w:pPr>
              <w:spacing w:line="276" w:lineRule="auto"/>
              <w:rPr>
                <w:rFonts w:ascii="Arial" w:hAnsi="Arial" w:cs="Arial"/>
                <w:sz w:val="20"/>
                <w:szCs w:val="20"/>
              </w:rPr>
            </w:pPr>
            <w:r w:rsidRPr="00465F49">
              <w:rPr>
                <w:rFonts w:ascii="Arial" w:hAnsi="Arial" w:cs="Arial"/>
                <w:sz w:val="20"/>
                <w:szCs w:val="20"/>
              </w:rPr>
              <w:t xml:space="preserve">6. Page 17 para 54 – again some analysis of productive capacity would be helpful here </w:t>
            </w:r>
          </w:p>
          <w:p w14:paraId="610A88A4" w14:textId="77777777" w:rsidR="000E192D" w:rsidRPr="00465F49" w:rsidRDefault="00B16AA4" w:rsidP="00D73374">
            <w:pPr>
              <w:spacing w:line="276" w:lineRule="auto"/>
              <w:rPr>
                <w:rFonts w:ascii="Arial" w:hAnsi="Arial" w:cs="Arial"/>
                <w:sz w:val="20"/>
                <w:szCs w:val="20"/>
              </w:rPr>
            </w:pPr>
            <w:r w:rsidRPr="00465F49">
              <w:rPr>
                <w:rFonts w:ascii="Arial" w:hAnsi="Arial" w:cs="Arial"/>
                <w:sz w:val="20"/>
                <w:szCs w:val="20"/>
              </w:rPr>
              <w:t xml:space="preserve">7. Page 18 – para 55 – should it be acknowledged that the Local Plan provision rate is too low? </w:t>
            </w:r>
          </w:p>
          <w:p w14:paraId="5F77A510" w14:textId="77777777" w:rsidR="00AE6641" w:rsidRDefault="00AE6641" w:rsidP="00D73374">
            <w:pPr>
              <w:spacing w:line="276" w:lineRule="auto"/>
              <w:rPr>
                <w:rFonts w:ascii="Arial" w:hAnsi="Arial" w:cs="Arial"/>
                <w:sz w:val="20"/>
                <w:szCs w:val="20"/>
              </w:rPr>
            </w:pPr>
          </w:p>
          <w:p w14:paraId="6D0AB66D" w14:textId="087083A9" w:rsidR="000E192D" w:rsidRPr="00465F49" w:rsidRDefault="00B16AA4" w:rsidP="00D73374">
            <w:pPr>
              <w:spacing w:line="276" w:lineRule="auto"/>
              <w:rPr>
                <w:rFonts w:ascii="Arial" w:hAnsi="Arial" w:cs="Arial"/>
                <w:sz w:val="20"/>
                <w:szCs w:val="20"/>
              </w:rPr>
            </w:pPr>
            <w:r w:rsidRPr="00465F49">
              <w:rPr>
                <w:rFonts w:ascii="Arial" w:hAnsi="Arial" w:cs="Arial"/>
                <w:sz w:val="20"/>
                <w:szCs w:val="20"/>
              </w:rPr>
              <w:t xml:space="preserve">8. Conclusion </w:t>
            </w:r>
            <w:r w:rsidR="00175412" w:rsidRPr="00465F49">
              <w:rPr>
                <w:rFonts w:ascii="Arial" w:hAnsi="Arial" w:cs="Arial"/>
                <w:sz w:val="20"/>
                <w:szCs w:val="20"/>
              </w:rPr>
              <w:t>–</w:t>
            </w:r>
            <w:r w:rsidRPr="00465F49">
              <w:rPr>
                <w:rFonts w:ascii="Arial" w:hAnsi="Arial" w:cs="Arial"/>
                <w:sz w:val="20"/>
                <w:szCs w:val="20"/>
              </w:rPr>
              <w:t xml:space="preserve"> The text refers to </w:t>
            </w:r>
            <w:proofErr w:type="gramStart"/>
            <w:r w:rsidRPr="00465F49">
              <w:rPr>
                <w:rFonts w:ascii="Arial" w:hAnsi="Arial" w:cs="Arial"/>
                <w:sz w:val="20"/>
                <w:szCs w:val="20"/>
              </w:rPr>
              <w:t>10 year</w:t>
            </w:r>
            <w:proofErr w:type="gramEnd"/>
            <w:r w:rsidRPr="00465F49">
              <w:rPr>
                <w:rFonts w:ascii="Arial" w:hAnsi="Arial" w:cs="Arial"/>
                <w:sz w:val="20"/>
                <w:szCs w:val="20"/>
              </w:rPr>
              <w:t xml:space="preserve"> average, 3 year average and the Local Plan provision rate but does not state which is the LAA provision rate. </w:t>
            </w:r>
          </w:p>
          <w:p w14:paraId="6A919433" w14:textId="77777777" w:rsidR="000957E6" w:rsidRPr="00465F49" w:rsidRDefault="000957E6" w:rsidP="00D73374">
            <w:pPr>
              <w:spacing w:line="276" w:lineRule="auto"/>
              <w:rPr>
                <w:rFonts w:ascii="Arial" w:hAnsi="Arial" w:cs="Arial"/>
                <w:sz w:val="20"/>
                <w:szCs w:val="20"/>
              </w:rPr>
            </w:pPr>
          </w:p>
          <w:p w14:paraId="75CDF0D0" w14:textId="77777777" w:rsidR="000957E6" w:rsidRPr="00465F49" w:rsidRDefault="000957E6" w:rsidP="00D73374">
            <w:pPr>
              <w:spacing w:line="276" w:lineRule="auto"/>
              <w:rPr>
                <w:rFonts w:ascii="Arial" w:hAnsi="Arial" w:cs="Arial"/>
                <w:sz w:val="20"/>
                <w:szCs w:val="20"/>
              </w:rPr>
            </w:pPr>
          </w:p>
          <w:p w14:paraId="4F975375" w14:textId="3394FD80" w:rsidR="00453CF8" w:rsidRPr="00465F49" w:rsidRDefault="00B16AA4" w:rsidP="00D73374">
            <w:pPr>
              <w:spacing w:line="276" w:lineRule="auto"/>
              <w:rPr>
                <w:rFonts w:ascii="Arial" w:eastAsia="Times New Roman" w:hAnsi="Arial" w:cs="Arial"/>
                <w:sz w:val="20"/>
                <w:szCs w:val="20"/>
              </w:rPr>
            </w:pPr>
            <w:r w:rsidRPr="00465F49">
              <w:rPr>
                <w:rFonts w:ascii="Arial" w:hAnsi="Arial" w:cs="Arial"/>
                <w:sz w:val="20"/>
                <w:szCs w:val="20"/>
              </w:rPr>
              <w:t xml:space="preserve">9. Para 65 – the landbank may be 26 years but the length of the Holme Hall permission is only </w:t>
            </w:r>
            <w:r w:rsidRPr="00465F49">
              <w:rPr>
                <w:rFonts w:ascii="Arial" w:hAnsi="Arial" w:cs="Arial"/>
                <w:sz w:val="20"/>
                <w:szCs w:val="20"/>
              </w:rPr>
              <w:lastRenderedPageBreak/>
              <w:t>until 2035 which is 11 years, see comment 5 abov</w:t>
            </w:r>
            <w:r w:rsidR="000E192D" w:rsidRPr="00465F49">
              <w:rPr>
                <w:rFonts w:ascii="Arial" w:hAnsi="Arial" w:cs="Arial"/>
                <w:sz w:val="20"/>
                <w:szCs w:val="20"/>
              </w:rPr>
              <w:t>e</w:t>
            </w:r>
          </w:p>
        </w:tc>
        <w:tc>
          <w:tcPr>
            <w:tcW w:w="4508" w:type="dxa"/>
          </w:tcPr>
          <w:p w14:paraId="793B3A31" w14:textId="77777777" w:rsidR="00453CF8" w:rsidRDefault="00453CF8" w:rsidP="00D73374">
            <w:pPr>
              <w:spacing w:line="276" w:lineRule="auto"/>
              <w:rPr>
                <w:rFonts w:ascii="Arial" w:eastAsia="Times New Roman" w:hAnsi="Arial" w:cs="Arial"/>
                <w:sz w:val="20"/>
                <w:szCs w:val="20"/>
              </w:rPr>
            </w:pPr>
          </w:p>
          <w:p w14:paraId="1614C506" w14:textId="77777777" w:rsidR="00240478" w:rsidRDefault="00240478" w:rsidP="00D73374">
            <w:pPr>
              <w:spacing w:line="276" w:lineRule="auto"/>
              <w:rPr>
                <w:rFonts w:ascii="Arial" w:eastAsia="Times New Roman" w:hAnsi="Arial" w:cs="Arial"/>
                <w:sz w:val="20"/>
                <w:szCs w:val="20"/>
              </w:rPr>
            </w:pPr>
          </w:p>
          <w:p w14:paraId="51A8F754" w14:textId="77777777" w:rsidR="00240478" w:rsidRDefault="00240478" w:rsidP="00D73374">
            <w:pPr>
              <w:spacing w:line="276" w:lineRule="auto"/>
              <w:rPr>
                <w:rFonts w:ascii="Arial" w:eastAsia="Times New Roman" w:hAnsi="Arial" w:cs="Arial"/>
                <w:sz w:val="20"/>
                <w:szCs w:val="20"/>
              </w:rPr>
            </w:pPr>
          </w:p>
          <w:p w14:paraId="2ED755DF" w14:textId="73300BC0" w:rsidR="00240478" w:rsidRDefault="009D122C" w:rsidP="00D73374">
            <w:pPr>
              <w:spacing w:line="276" w:lineRule="auto"/>
              <w:rPr>
                <w:rFonts w:ascii="Arial" w:eastAsia="Times New Roman" w:hAnsi="Arial" w:cs="Arial"/>
                <w:sz w:val="20"/>
                <w:szCs w:val="20"/>
              </w:rPr>
            </w:pPr>
            <w:r>
              <w:rPr>
                <w:rFonts w:ascii="Arial" w:eastAsia="Times New Roman" w:hAnsi="Arial" w:cs="Arial"/>
                <w:sz w:val="20"/>
                <w:szCs w:val="20"/>
              </w:rPr>
              <w:t>PP information added</w:t>
            </w:r>
            <w:r w:rsidR="004647F3">
              <w:rPr>
                <w:rFonts w:ascii="Arial" w:eastAsia="Times New Roman" w:hAnsi="Arial" w:cs="Arial"/>
                <w:sz w:val="20"/>
                <w:szCs w:val="20"/>
              </w:rPr>
              <w:t>.</w:t>
            </w:r>
          </w:p>
          <w:p w14:paraId="11BE6BB7" w14:textId="77777777" w:rsidR="00240478" w:rsidRDefault="00240478" w:rsidP="00D73374">
            <w:pPr>
              <w:spacing w:line="276" w:lineRule="auto"/>
              <w:rPr>
                <w:rFonts w:ascii="Arial" w:eastAsia="Times New Roman" w:hAnsi="Arial" w:cs="Arial"/>
                <w:sz w:val="20"/>
                <w:szCs w:val="20"/>
              </w:rPr>
            </w:pPr>
          </w:p>
          <w:p w14:paraId="665B7518" w14:textId="77777777" w:rsidR="009D122C" w:rsidRDefault="009D122C" w:rsidP="00D73374">
            <w:pPr>
              <w:spacing w:line="276" w:lineRule="auto"/>
              <w:rPr>
                <w:rFonts w:ascii="Arial" w:eastAsia="Times New Roman" w:hAnsi="Arial" w:cs="Arial"/>
                <w:sz w:val="20"/>
                <w:szCs w:val="20"/>
              </w:rPr>
            </w:pPr>
          </w:p>
          <w:p w14:paraId="20857F09" w14:textId="3DB9B6FF" w:rsidR="009D122C" w:rsidRDefault="009D122C" w:rsidP="009D122C">
            <w:pPr>
              <w:spacing w:line="276" w:lineRule="auto"/>
              <w:rPr>
                <w:rFonts w:ascii="Arial" w:eastAsia="Times New Roman" w:hAnsi="Arial" w:cs="Arial"/>
                <w:sz w:val="20"/>
                <w:szCs w:val="20"/>
              </w:rPr>
            </w:pPr>
            <w:r>
              <w:rPr>
                <w:rFonts w:ascii="Arial" w:eastAsia="Times New Roman" w:hAnsi="Arial" w:cs="Arial"/>
                <w:sz w:val="20"/>
                <w:szCs w:val="20"/>
              </w:rPr>
              <w:t>PP information added</w:t>
            </w:r>
            <w:r w:rsidR="004647F3">
              <w:rPr>
                <w:rFonts w:ascii="Arial" w:eastAsia="Times New Roman" w:hAnsi="Arial" w:cs="Arial"/>
                <w:sz w:val="20"/>
                <w:szCs w:val="20"/>
              </w:rPr>
              <w:t>.</w:t>
            </w:r>
          </w:p>
          <w:p w14:paraId="69473FE7" w14:textId="7784B7D9" w:rsidR="009D122C" w:rsidRDefault="00876A82" w:rsidP="00D73374">
            <w:pPr>
              <w:spacing w:line="276" w:lineRule="auto"/>
              <w:rPr>
                <w:rFonts w:ascii="Arial" w:eastAsia="Times New Roman" w:hAnsi="Arial" w:cs="Arial"/>
                <w:sz w:val="20"/>
                <w:szCs w:val="20"/>
              </w:rPr>
            </w:pPr>
            <w:r>
              <w:rPr>
                <w:rFonts w:ascii="Arial" w:eastAsia="Times New Roman" w:hAnsi="Arial" w:cs="Arial"/>
                <w:sz w:val="20"/>
                <w:szCs w:val="20"/>
              </w:rPr>
              <w:t>It’s a very small upward trend</w:t>
            </w:r>
            <w:r w:rsidR="00720679">
              <w:rPr>
                <w:rFonts w:ascii="Arial" w:eastAsia="Times New Roman" w:hAnsi="Arial" w:cs="Arial"/>
                <w:sz w:val="20"/>
                <w:szCs w:val="20"/>
              </w:rPr>
              <w:t xml:space="preserve"> and 22/23</w:t>
            </w:r>
            <w:r>
              <w:rPr>
                <w:rFonts w:ascii="Arial" w:eastAsia="Times New Roman" w:hAnsi="Arial" w:cs="Arial"/>
                <w:sz w:val="20"/>
                <w:szCs w:val="20"/>
              </w:rPr>
              <w:t xml:space="preserve"> </w:t>
            </w:r>
            <w:r w:rsidR="00720679">
              <w:rPr>
                <w:rFonts w:ascii="Arial" w:eastAsia="Times New Roman" w:hAnsi="Arial" w:cs="Arial"/>
                <w:sz w:val="20"/>
                <w:szCs w:val="20"/>
              </w:rPr>
              <w:t>sales are roughly the same</w:t>
            </w:r>
            <w:r w:rsidR="008B2165">
              <w:rPr>
                <w:rFonts w:ascii="Arial" w:eastAsia="Times New Roman" w:hAnsi="Arial" w:cs="Arial"/>
                <w:sz w:val="20"/>
                <w:szCs w:val="20"/>
              </w:rPr>
              <w:t>. I</w:t>
            </w:r>
            <w:r>
              <w:rPr>
                <w:rFonts w:ascii="Arial" w:eastAsia="Times New Roman" w:hAnsi="Arial" w:cs="Arial"/>
                <w:sz w:val="20"/>
                <w:szCs w:val="20"/>
              </w:rPr>
              <w:t>f it was significant</w:t>
            </w:r>
            <w:r w:rsidR="004647F3">
              <w:rPr>
                <w:rFonts w:ascii="Arial" w:eastAsia="Times New Roman" w:hAnsi="Arial" w:cs="Arial"/>
                <w:sz w:val="20"/>
                <w:szCs w:val="20"/>
              </w:rPr>
              <w:t>,</w:t>
            </w:r>
            <w:r>
              <w:rPr>
                <w:rFonts w:ascii="Arial" w:eastAsia="Times New Roman" w:hAnsi="Arial" w:cs="Arial"/>
                <w:sz w:val="20"/>
                <w:szCs w:val="20"/>
              </w:rPr>
              <w:t xml:space="preserve"> I would note it.</w:t>
            </w:r>
          </w:p>
          <w:p w14:paraId="045C4EBE" w14:textId="40109F23" w:rsidR="008B2165" w:rsidRDefault="008B2165" w:rsidP="00D73374">
            <w:pPr>
              <w:spacing w:line="276" w:lineRule="auto"/>
              <w:rPr>
                <w:rFonts w:ascii="Arial" w:eastAsia="Times New Roman" w:hAnsi="Arial" w:cs="Arial"/>
                <w:sz w:val="20"/>
                <w:szCs w:val="20"/>
              </w:rPr>
            </w:pPr>
            <w:r>
              <w:rPr>
                <w:rFonts w:ascii="Arial" w:eastAsia="Times New Roman" w:hAnsi="Arial" w:cs="Arial"/>
                <w:sz w:val="20"/>
                <w:szCs w:val="20"/>
              </w:rPr>
              <w:t>Amended</w:t>
            </w:r>
            <w:r w:rsidR="004647F3">
              <w:rPr>
                <w:rFonts w:ascii="Arial" w:eastAsia="Times New Roman" w:hAnsi="Arial" w:cs="Arial"/>
                <w:sz w:val="20"/>
                <w:szCs w:val="20"/>
              </w:rPr>
              <w:t>.</w:t>
            </w:r>
          </w:p>
          <w:p w14:paraId="5C0D5AFA" w14:textId="77777777" w:rsidR="008B2165" w:rsidRDefault="008B2165" w:rsidP="00D73374">
            <w:pPr>
              <w:spacing w:line="276" w:lineRule="auto"/>
              <w:rPr>
                <w:rFonts w:ascii="Arial" w:eastAsia="Times New Roman" w:hAnsi="Arial" w:cs="Arial"/>
                <w:sz w:val="20"/>
                <w:szCs w:val="20"/>
              </w:rPr>
            </w:pPr>
          </w:p>
          <w:p w14:paraId="49301EB7" w14:textId="279EBCB9" w:rsidR="008B2165" w:rsidRDefault="004647F3" w:rsidP="00D73374">
            <w:pPr>
              <w:spacing w:line="276" w:lineRule="auto"/>
              <w:rPr>
                <w:rFonts w:ascii="Arial" w:eastAsia="Times New Roman" w:hAnsi="Arial" w:cs="Arial"/>
                <w:sz w:val="20"/>
                <w:szCs w:val="20"/>
              </w:rPr>
            </w:pPr>
            <w:r>
              <w:rPr>
                <w:rFonts w:ascii="Arial" w:eastAsia="Times New Roman" w:hAnsi="Arial" w:cs="Arial"/>
                <w:sz w:val="20"/>
                <w:szCs w:val="20"/>
              </w:rPr>
              <w:t>Amended</w:t>
            </w:r>
            <w:r w:rsidR="00DA71E8">
              <w:rPr>
                <w:rFonts w:ascii="Arial" w:eastAsia="Times New Roman" w:hAnsi="Arial" w:cs="Arial"/>
                <w:sz w:val="20"/>
                <w:szCs w:val="20"/>
              </w:rPr>
              <w:t xml:space="preserve">. </w:t>
            </w:r>
            <w:r w:rsidR="00FC1E64">
              <w:rPr>
                <w:rFonts w:ascii="Arial" w:eastAsia="Times New Roman" w:hAnsi="Arial" w:cs="Arial"/>
                <w:sz w:val="20"/>
                <w:szCs w:val="20"/>
              </w:rPr>
              <w:t>Resource availability</w:t>
            </w:r>
            <w:r w:rsidR="002C341E">
              <w:rPr>
                <w:rFonts w:ascii="Arial" w:eastAsia="Times New Roman" w:hAnsi="Arial" w:cs="Arial"/>
                <w:sz w:val="20"/>
                <w:szCs w:val="20"/>
              </w:rPr>
              <w:t xml:space="preserve"> </w:t>
            </w:r>
            <w:r w:rsidR="00FC1E64">
              <w:rPr>
                <w:rFonts w:ascii="Arial" w:eastAsia="Times New Roman" w:hAnsi="Arial" w:cs="Arial"/>
                <w:sz w:val="20"/>
                <w:szCs w:val="20"/>
              </w:rPr>
              <w:t xml:space="preserve">limits productive capacity. </w:t>
            </w:r>
          </w:p>
          <w:p w14:paraId="2B0A1E0C" w14:textId="77777777" w:rsidR="00F454F3" w:rsidRDefault="00F454F3" w:rsidP="00D73374">
            <w:pPr>
              <w:spacing w:line="276" w:lineRule="auto"/>
              <w:rPr>
                <w:rFonts w:ascii="Arial" w:eastAsia="Times New Roman" w:hAnsi="Arial" w:cs="Arial"/>
                <w:sz w:val="20"/>
                <w:szCs w:val="20"/>
              </w:rPr>
            </w:pPr>
          </w:p>
          <w:p w14:paraId="660D0D1D" w14:textId="77777777" w:rsidR="00F454F3" w:rsidRDefault="00F454F3" w:rsidP="00D73374">
            <w:pPr>
              <w:spacing w:line="276" w:lineRule="auto"/>
              <w:rPr>
                <w:rFonts w:ascii="Arial" w:eastAsia="Times New Roman" w:hAnsi="Arial" w:cs="Arial"/>
                <w:sz w:val="20"/>
                <w:szCs w:val="20"/>
              </w:rPr>
            </w:pPr>
          </w:p>
          <w:p w14:paraId="07E0071E" w14:textId="07E907CB" w:rsidR="00F454F3" w:rsidRDefault="00F454F3" w:rsidP="00D73374">
            <w:pPr>
              <w:spacing w:line="276" w:lineRule="auto"/>
              <w:rPr>
                <w:rFonts w:ascii="Arial" w:eastAsia="Times New Roman" w:hAnsi="Arial" w:cs="Arial"/>
                <w:sz w:val="20"/>
                <w:szCs w:val="20"/>
              </w:rPr>
            </w:pPr>
          </w:p>
          <w:p w14:paraId="59FB5C6E" w14:textId="3C058881" w:rsidR="004647F3" w:rsidRDefault="004647F3" w:rsidP="004647F3">
            <w:pPr>
              <w:spacing w:line="276" w:lineRule="auto"/>
              <w:rPr>
                <w:rFonts w:ascii="Arial" w:eastAsia="Times New Roman" w:hAnsi="Arial" w:cs="Arial"/>
                <w:sz w:val="20"/>
                <w:szCs w:val="20"/>
              </w:rPr>
            </w:pPr>
            <w:r>
              <w:rPr>
                <w:rFonts w:ascii="Arial" w:eastAsia="Times New Roman" w:hAnsi="Arial" w:cs="Arial"/>
                <w:sz w:val="20"/>
                <w:szCs w:val="20"/>
              </w:rPr>
              <w:t>Amended.</w:t>
            </w:r>
          </w:p>
          <w:p w14:paraId="31FCB275" w14:textId="77777777" w:rsidR="004647F3" w:rsidRDefault="004647F3" w:rsidP="00D73374">
            <w:pPr>
              <w:spacing w:line="276" w:lineRule="auto"/>
              <w:rPr>
                <w:rFonts w:ascii="Arial" w:eastAsia="Times New Roman" w:hAnsi="Arial" w:cs="Arial"/>
                <w:sz w:val="20"/>
                <w:szCs w:val="20"/>
              </w:rPr>
            </w:pPr>
          </w:p>
          <w:p w14:paraId="4ED8CF32" w14:textId="2E8D47CE" w:rsidR="006E1E23" w:rsidRDefault="00E2209A" w:rsidP="00D73374">
            <w:pPr>
              <w:spacing w:line="276" w:lineRule="auto"/>
              <w:rPr>
                <w:rFonts w:ascii="Arial" w:eastAsia="Times New Roman" w:hAnsi="Arial" w:cs="Arial"/>
                <w:sz w:val="20"/>
                <w:szCs w:val="20"/>
              </w:rPr>
            </w:pPr>
            <w:r>
              <w:rPr>
                <w:rFonts w:ascii="Arial" w:eastAsia="Times New Roman" w:hAnsi="Arial" w:cs="Arial"/>
                <w:sz w:val="20"/>
                <w:szCs w:val="20"/>
              </w:rPr>
              <w:t xml:space="preserve">The Local Plan provision </w:t>
            </w:r>
            <w:r w:rsidR="00E35C86">
              <w:rPr>
                <w:rFonts w:ascii="Arial" w:eastAsia="Times New Roman" w:hAnsi="Arial" w:cs="Arial"/>
                <w:sz w:val="20"/>
                <w:szCs w:val="20"/>
              </w:rPr>
              <w:t xml:space="preserve">is in the adopted Local Plan. </w:t>
            </w:r>
            <w:r w:rsidR="00CD6B2B">
              <w:rPr>
                <w:rFonts w:ascii="Arial" w:eastAsia="Times New Roman" w:hAnsi="Arial" w:cs="Arial"/>
                <w:sz w:val="20"/>
                <w:szCs w:val="20"/>
              </w:rPr>
              <w:t xml:space="preserve">For sand and </w:t>
            </w:r>
            <w:proofErr w:type="gramStart"/>
            <w:r w:rsidR="00CD6B2B">
              <w:rPr>
                <w:rFonts w:ascii="Arial" w:eastAsia="Times New Roman" w:hAnsi="Arial" w:cs="Arial"/>
                <w:sz w:val="20"/>
                <w:szCs w:val="20"/>
              </w:rPr>
              <w:t>gravel</w:t>
            </w:r>
            <w:proofErr w:type="gramEnd"/>
            <w:r w:rsidR="00CD6B2B">
              <w:rPr>
                <w:rFonts w:ascii="Arial" w:eastAsia="Times New Roman" w:hAnsi="Arial" w:cs="Arial"/>
                <w:sz w:val="20"/>
                <w:szCs w:val="20"/>
              </w:rPr>
              <w:t xml:space="preserve"> i</w:t>
            </w:r>
            <w:r w:rsidR="00E35C86">
              <w:rPr>
                <w:rFonts w:ascii="Arial" w:eastAsia="Times New Roman" w:hAnsi="Arial" w:cs="Arial"/>
                <w:sz w:val="20"/>
                <w:szCs w:val="20"/>
              </w:rPr>
              <w:t>t is what we can provide</w:t>
            </w:r>
            <w:r w:rsidR="00B0437C">
              <w:rPr>
                <w:rFonts w:ascii="Arial" w:eastAsia="Times New Roman" w:hAnsi="Arial" w:cs="Arial"/>
                <w:sz w:val="20"/>
                <w:szCs w:val="20"/>
              </w:rPr>
              <w:t xml:space="preserve"> given</w:t>
            </w:r>
            <w:r w:rsidR="006E1E23">
              <w:rPr>
                <w:rFonts w:ascii="Arial" w:eastAsia="Times New Roman" w:hAnsi="Arial" w:cs="Arial"/>
                <w:sz w:val="20"/>
                <w:szCs w:val="20"/>
              </w:rPr>
              <w:t xml:space="preserve"> </w:t>
            </w:r>
            <w:r w:rsidR="00B0437C">
              <w:rPr>
                <w:rFonts w:ascii="Arial" w:eastAsia="Times New Roman" w:hAnsi="Arial" w:cs="Arial"/>
                <w:sz w:val="20"/>
                <w:szCs w:val="20"/>
              </w:rPr>
              <w:t>resource availability</w:t>
            </w:r>
            <w:r w:rsidR="00230238">
              <w:rPr>
                <w:rFonts w:ascii="Arial" w:eastAsia="Times New Roman" w:hAnsi="Arial" w:cs="Arial"/>
                <w:sz w:val="20"/>
                <w:szCs w:val="20"/>
              </w:rPr>
              <w:t>.</w:t>
            </w:r>
            <w:r w:rsidR="00102C18">
              <w:rPr>
                <w:rFonts w:ascii="Arial" w:eastAsia="Times New Roman" w:hAnsi="Arial" w:cs="Arial"/>
                <w:sz w:val="20"/>
                <w:szCs w:val="20"/>
              </w:rPr>
              <w:t xml:space="preserve"> For crushed rock it </w:t>
            </w:r>
            <w:r w:rsidR="00281BCC">
              <w:rPr>
                <w:rFonts w:ascii="Arial" w:eastAsia="Times New Roman" w:hAnsi="Arial" w:cs="Arial"/>
                <w:sz w:val="20"/>
                <w:szCs w:val="20"/>
              </w:rPr>
              <w:t>is</w:t>
            </w:r>
            <w:r w:rsidR="00102C18">
              <w:rPr>
                <w:rFonts w:ascii="Arial" w:eastAsia="Times New Roman" w:hAnsi="Arial" w:cs="Arial"/>
                <w:sz w:val="20"/>
                <w:szCs w:val="20"/>
              </w:rPr>
              <w:t xml:space="preserve"> based on annual sales. </w:t>
            </w:r>
            <w:r w:rsidR="00230238">
              <w:rPr>
                <w:rFonts w:ascii="Arial" w:eastAsia="Times New Roman" w:hAnsi="Arial" w:cs="Arial"/>
                <w:sz w:val="20"/>
                <w:szCs w:val="20"/>
              </w:rPr>
              <w:t xml:space="preserve"> </w:t>
            </w:r>
          </w:p>
          <w:p w14:paraId="75BEF11D" w14:textId="220D15EE" w:rsidR="006E1E23" w:rsidRDefault="008A60E0" w:rsidP="00D73374">
            <w:pPr>
              <w:spacing w:line="276" w:lineRule="auto"/>
              <w:rPr>
                <w:rFonts w:ascii="Arial" w:eastAsia="Times New Roman" w:hAnsi="Arial" w:cs="Arial"/>
                <w:sz w:val="20"/>
                <w:szCs w:val="20"/>
              </w:rPr>
            </w:pPr>
            <w:r>
              <w:rPr>
                <w:rFonts w:ascii="Arial" w:eastAsia="Times New Roman" w:hAnsi="Arial" w:cs="Arial"/>
                <w:sz w:val="20"/>
                <w:szCs w:val="20"/>
              </w:rPr>
              <w:t>I have quoted what the NPPF requires</w:t>
            </w:r>
            <w:r w:rsidR="001F5676">
              <w:rPr>
                <w:rFonts w:ascii="Arial" w:eastAsia="Times New Roman" w:hAnsi="Arial" w:cs="Arial"/>
                <w:sz w:val="20"/>
                <w:szCs w:val="20"/>
              </w:rPr>
              <w:t xml:space="preserve"> and in each scenario the </w:t>
            </w:r>
            <w:r w:rsidR="00C46C8E">
              <w:rPr>
                <w:rFonts w:ascii="Arial" w:eastAsia="Times New Roman" w:hAnsi="Arial" w:cs="Arial"/>
                <w:sz w:val="20"/>
                <w:szCs w:val="20"/>
              </w:rPr>
              <w:t xml:space="preserve">landbank is above </w:t>
            </w:r>
            <w:r w:rsidR="000957E6">
              <w:rPr>
                <w:rFonts w:ascii="Arial" w:eastAsia="Times New Roman" w:hAnsi="Arial" w:cs="Arial"/>
                <w:sz w:val="20"/>
                <w:szCs w:val="20"/>
              </w:rPr>
              <w:t xml:space="preserve">NPPF </w:t>
            </w:r>
            <w:r w:rsidR="001F5676">
              <w:rPr>
                <w:rFonts w:ascii="Arial" w:eastAsia="Times New Roman" w:hAnsi="Arial" w:cs="Arial"/>
                <w:sz w:val="20"/>
                <w:szCs w:val="20"/>
              </w:rPr>
              <w:t>requirement</w:t>
            </w:r>
            <w:r w:rsidR="009B648C">
              <w:rPr>
                <w:rFonts w:ascii="Arial" w:eastAsia="Times New Roman" w:hAnsi="Arial" w:cs="Arial"/>
                <w:sz w:val="20"/>
                <w:szCs w:val="20"/>
              </w:rPr>
              <w:t xml:space="preserve">. </w:t>
            </w:r>
            <w:r w:rsidR="00E922DA">
              <w:rPr>
                <w:rFonts w:ascii="Arial" w:eastAsia="Times New Roman" w:hAnsi="Arial" w:cs="Arial"/>
                <w:sz w:val="20"/>
                <w:szCs w:val="20"/>
              </w:rPr>
              <w:t>L</w:t>
            </w:r>
            <w:r w:rsidR="00FC7B39">
              <w:rPr>
                <w:rFonts w:ascii="Arial" w:eastAsia="Times New Roman" w:hAnsi="Arial" w:cs="Arial"/>
                <w:sz w:val="20"/>
                <w:szCs w:val="20"/>
              </w:rPr>
              <w:t>ocal provision is identified in the adopted Local Plan</w:t>
            </w:r>
            <w:r w:rsidR="00FB745D">
              <w:rPr>
                <w:rFonts w:ascii="Arial" w:eastAsia="Times New Roman" w:hAnsi="Arial" w:cs="Arial"/>
                <w:sz w:val="20"/>
                <w:szCs w:val="20"/>
              </w:rPr>
              <w:t>. It’s a flaw with the NPPF requirements not the LAA</w:t>
            </w:r>
            <w:r w:rsidR="00577798">
              <w:rPr>
                <w:rFonts w:ascii="Arial" w:eastAsia="Times New Roman" w:hAnsi="Arial" w:cs="Arial"/>
                <w:sz w:val="20"/>
                <w:szCs w:val="20"/>
              </w:rPr>
              <w:t xml:space="preserve">. </w:t>
            </w:r>
            <w:r w:rsidR="00C42556">
              <w:rPr>
                <w:rFonts w:ascii="Arial" w:eastAsia="Times New Roman" w:hAnsi="Arial" w:cs="Arial"/>
                <w:sz w:val="20"/>
                <w:szCs w:val="20"/>
              </w:rPr>
              <w:t>Resource depletion is noted throughout the report.</w:t>
            </w:r>
          </w:p>
          <w:p w14:paraId="7B698DAF" w14:textId="321AB8AA" w:rsidR="004647F3" w:rsidRPr="001364EC" w:rsidRDefault="00175412" w:rsidP="00D73374">
            <w:pPr>
              <w:spacing w:line="276" w:lineRule="auto"/>
              <w:rPr>
                <w:rFonts w:ascii="Arial" w:eastAsia="Times New Roman" w:hAnsi="Arial" w:cs="Arial"/>
                <w:sz w:val="20"/>
                <w:szCs w:val="20"/>
              </w:rPr>
            </w:pPr>
            <w:r>
              <w:rPr>
                <w:rFonts w:ascii="Arial" w:eastAsia="Times New Roman" w:hAnsi="Arial" w:cs="Arial"/>
                <w:sz w:val="20"/>
                <w:szCs w:val="20"/>
              </w:rPr>
              <w:t xml:space="preserve">Note added. </w:t>
            </w:r>
          </w:p>
        </w:tc>
      </w:tr>
      <w:tr w:rsidR="00453CF8" w:rsidRPr="007B2C42" w14:paraId="3AC6F838" w14:textId="77777777" w:rsidTr="00453CF8">
        <w:tc>
          <w:tcPr>
            <w:tcW w:w="4508" w:type="dxa"/>
          </w:tcPr>
          <w:p w14:paraId="2D214FA0" w14:textId="77777777" w:rsidR="00120C6B" w:rsidRPr="00465F49" w:rsidRDefault="00120C6B" w:rsidP="00120C6B">
            <w:pPr>
              <w:spacing w:line="276" w:lineRule="auto"/>
              <w:rPr>
                <w:rFonts w:ascii="Arial" w:eastAsia="Times New Roman" w:hAnsi="Arial" w:cs="Arial"/>
                <w:sz w:val="20"/>
                <w:szCs w:val="20"/>
              </w:rPr>
            </w:pPr>
            <w:r w:rsidRPr="00465F49">
              <w:rPr>
                <w:rFonts w:ascii="Arial" w:eastAsia="Times New Roman" w:hAnsi="Arial" w:cs="Arial"/>
                <w:sz w:val="20"/>
                <w:szCs w:val="20"/>
              </w:rPr>
              <w:t xml:space="preserve">North Yorkshire Council note that ‘Doncaster and Rotherham </w:t>
            </w:r>
            <w:proofErr w:type="gramStart"/>
            <w:r w:rsidRPr="00465F49">
              <w:rPr>
                <w:rFonts w:ascii="Arial" w:eastAsia="Times New Roman" w:hAnsi="Arial" w:cs="Arial"/>
                <w:sz w:val="20"/>
                <w:szCs w:val="20"/>
              </w:rPr>
              <w:t>is</w:t>
            </w:r>
            <w:proofErr w:type="gramEnd"/>
            <w:r w:rsidRPr="00465F49">
              <w:rPr>
                <w:rFonts w:ascii="Arial" w:eastAsia="Times New Roman" w:hAnsi="Arial" w:cs="Arial"/>
                <w:sz w:val="20"/>
                <w:szCs w:val="20"/>
              </w:rPr>
              <w:t xml:space="preserve"> (and will remain) reliant on imports from other areas to meet development needs’. According to the LAA this does not currently include North Yorkshire. </w:t>
            </w:r>
          </w:p>
          <w:p w14:paraId="71F8841D" w14:textId="77777777" w:rsidR="00120C6B" w:rsidRPr="00465F49" w:rsidRDefault="00120C6B" w:rsidP="00120C6B">
            <w:pPr>
              <w:spacing w:line="276" w:lineRule="auto"/>
              <w:rPr>
                <w:rFonts w:ascii="Arial" w:eastAsia="Times New Roman" w:hAnsi="Arial" w:cs="Arial"/>
                <w:sz w:val="20"/>
                <w:szCs w:val="20"/>
              </w:rPr>
            </w:pPr>
          </w:p>
          <w:p w14:paraId="65F14851" w14:textId="77777777" w:rsidR="00120C6B" w:rsidRPr="00465F49" w:rsidRDefault="00120C6B" w:rsidP="00120C6B">
            <w:pPr>
              <w:spacing w:line="276" w:lineRule="auto"/>
              <w:rPr>
                <w:rFonts w:ascii="Arial" w:eastAsia="Times New Roman" w:hAnsi="Arial" w:cs="Arial"/>
                <w:sz w:val="20"/>
                <w:szCs w:val="20"/>
              </w:rPr>
            </w:pPr>
            <w:r w:rsidRPr="00465F49">
              <w:rPr>
                <w:rFonts w:ascii="Arial" w:eastAsia="Times New Roman" w:hAnsi="Arial" w:cs="Arial"/>
                <w:sz w:val="20"/>
                <w:szCs w:val="20"/>
              </w:rPr>
              <w:t xml:space="preserve">North Yorkshire is a key supplier of sand and gravel in the Yorkshire and Humber Region so may be a source of supply in the future. </w:t>
            </w:r>
          </w:p>
          <w:p w14:paraId="747027F6" w14:textId="77777777" w:rsidR="00120C6B" w:rsidRPr="00465F49" w:rsidRDefault="00120C6B" w:rsidP="00120C6B">
            <w:pPr>
              <w:spacing w:line="276" w:lineRule="auto"/>
              <w:rPr>
                <w:rFonts w:ascii="Arial" w:eastAsia="Times New Roman" w:hAnsi="Arial" w:cs="Arial"/>
                <w:sz w:val="20"/>
                <w:szCs w:val="20"/>
              </w:rPr>
            </w:pPr>
          </w:p>
          <w:p w14:paraId="0DB9EEB9" w14:textId="77777777" w:rsidR="00120C6B" w:rsidRPr="00465F49" w:rsidRDefault="00120C6B" w:rsidP="00120C6B">
            <w:pPr>
              <w:spacing w:line="276" w:lineRule="auto"/>
              <w:rPr>
                <w:rFonts w:ascii="Arial" w:eastAsia="Times New Roman" w:hAnsi="Arial" w:cs="Arial"/>
                <w:sz w:val="20"/>
                <w:szCs w:val="20"/>
              </w:rPr>
            </w:pPr>
            <w:r w:rsidRPr="00465F49">
              <w:rPr>
                <w:rFonts w:ascii="Arial" w:eastAsia="Times New Roman" w:hAnsi="Arial" w:cs="Arial"/>
                <w:sz w:val="20"/>
                <w:szCs w:val="20"/>
              </w:rPr>
              <w:t xml:space="preserve">I have no further comments. </w:t>
            </w:r>
          </w:p>
          <w:p w14:paraId="3107E77B" w14:textId="77777777" w:rsidR="00120C6B" w:rsidRPr="00465F49" w:rsidRDefault="00120C6B" w:rsidP="00120C6B">
            <w:pPr>
              <w:spacing w:line="276" w:lineRule="auto"/>
              <w:rPr>
                <w:rFonts w:ascii="Arial" w:eastAsia="Times New Roman" w:hAnsi="Arial" w:cs="Arial"/>
                <w:sz w:val="20"/>
                <w:szCs w:val="20"/>
              </w:rPr>
            </w:pPr>
          </w:p>
          <w:p w14:paraId="17481CF9" w14:textId="77777777" w:rsidR="00120C6B" w:rsidRPr="00465F49" w:rsidRDefault="00120C6B" w:rsidP="00120C6B">
            <w:pPr>
              <w:spacing w:line="276" w:lineRule="auto"/>
              <w:rPr>
                <w:rFonts w:ascii="Arial" w:eastAsia="Times New Roman" w:hAnsi="Arial" w:cs="Arial"/>
                <w:sz w:val="20"/>
                <w:szCs w:val="20"/>
              </w:rPr>
            </w:pPr>
            <w:r w:rsidRPr="00465F49">
              <w:rPr>
                <w:rFonts w:ascii="Arial" w:eastAsia="Times New Roman" w:hAnsi="Arial" w:cs="Arial"/>
                <w:sz w:val="20"/>
                <w:szCs w:val="20"/>
              </w:rPr>
              <w:t xml:space="preserve">Kind Regards </w:t>
            </w:r>
          </w:p>
          <w:p w14:paraId="367D2115" w14:textId="77777777" w:rsidR="00120C6B" w:rsidRPr="00465F49" w:rsidRDefault="00120C6B" w:rsidP="00120C6B">
            <w:pPr>
              <w:spacing w:line="276" w:lineRule="auto"/>
              <w:rPr>
                <w:rFonts w:ascii="Arial" w:eastAsia="Times New Roman" w:hAnsi="Arial" w:cs="Arial"/>
                <w:sz w:val="20"/>
                <w:szCs w:val="20"/>
              </w:rPr>
            </w:pPr>
          </w:p>
          <w:p w14:paraId="5087C72A" w14:textId="4F958787" w:rsidR="00453CF8" w:rsidRPr="00465F49" w:rsidRDefault="00120C6B" w:rsidP="00120C6B">
            <w:pPr>
              <w:spacing w:line="276" w:lineRule="auto"/>
              <w:rPr>
                <w:rFonts w:ascii="Arial" w:eastAsia="Times New Roman" w:hAnsi="Arial" w:cs="Arial"/>
                <w:sz w:val="20"/>
                <w:szCs w:val="20"/>
              </w:rPr>
            </w:pPr>
            <w:r w:rsidRPr="00465F49">
              <w:rPr>
                <w:rFonts w:ascii="Arial" w:eastAsia="Times New Roman" w:hAnsi="Arial" w:cs="Arial"/>
                <w:sz w:val="20"/>
                <w:szCs w:val="20"/>
              </w:rPr>
              <w:t>North Yorkshire Council</w:t>
            </w:r>
          </w:p>
        </w:tc>
        <w:tc>
          <w:tcPr>
            <w:tcW w:w="4508" w:type="dxa"/>
          </w:tcPr>
          <w:p w14:paraId="03F0750C" w14:textId="62CE1BCA" w:rsidR="00453CF8" w:rsidRPr="001364EC" w:rsidRDefault="0066759C" w:rsidP="00D73374">
            <w:pPr>
              <w:spacing w:line="276" w:lineRule="auto"/>
              <w:rPr>
                <w:rFonts w:ascii="Arial" w:eastAsia="Times New Roman" w:hAnsi="Arial" w:cs="Arial"/>
                <w:sz w:val="20"/>
                <w:szCs w:val="20"/>
              </w:rPr>
            </w:pPr>
            <w:r>
              <w:rPr>
                <w:rFonts w:ascii="Arial" w:eastAsia="Times New Roman" w:hAnsi="Arial" w:cs="Arial"/>
                <w:sz w:val="20"/>
                <w:szCs w:val="20"/>
              </w:rPr>
              <w:t xml:space="preserve">I will acknowledge in the LAA that </w:t>
            </w:r>
            <w:r w:rsidR="007F4372">
              <w:rPr>
                <w:rFonts w:ascii="Arial" w:eastAsia="Times New Roman" w:hAnsi="Arial" w:cs="Arial"/>
                <w:sz w:val="20"/>
                <w:szCs w:val="20"/>
              </w:rPr>
              <w:t>increasing</w:t>
            </w:r>
            <w:r w:rsidR="007F4372" w:rsidRPr="007F4372">
              <w:rPr>
                <w:rFonts w:ascii="Arial" w:eastAsia="Times New Roman" w:hAnsi="Arial" w:cs="Arial"/>
                <w:sz w:val="20"/>
                <w:szCs w:val="20"/>
              </w:rPr>
              <w:t xml:space="preserve"> shortfalls in concreting sand and gravel in the West and South Yorkshire </w:t>
            </w:r>
            <w:r w:rsidR="00F9195C">
              <w:rPr>
                <w:rFonts w:ascii="Arial" w:eastAsia="Times New Roman" w:hAnsi="Arial" w:cs="Arial"/>
                <w:sz w:val="20"/>
                <w:szCs w:val="20"/>
              </w:rPr>
              <w:t xml:space="preserve">may </w:t>
            </w:r>
            <w:r w:rsidR="007F4372" w:rsidRPr="007F4372">
              <w:rPr>
                <w:rFonts w:ascii="Arial" w:eastAsia="Times New Roman" w:hAnsi="Arial" w:cs="Arial"/>
                <w:sz w:val="20"/>
                <w:szCs w:val="20"/>
              </w:rPr>
              <w:t xml:space="preserve">lead to increased demand for aggregate worked in </w:t>
            </w:r>
            <w:r w:rsidR="00F356FD">
              <w:rPr>
                <w:rFonts w:ascii="Arial" w:eastAsia="Times New Roman" w:hAnsi="Arial" w:cs="Arial"/>
                <w:sz w:val="20"/>
                <w:szCs w:val="20"/>
              </w:rPr>
              <w:t xml:space="preserve">southern part of </w:t>
            </w:r>
            <w:r w:rsidR="007F4372" w:rsidRPr="007F4372">
              <w:rPr>
                <w:rFonts w:ascii="Arial" w:eastAsia="Times New Roman" w:hAnsi="Arial" w:cs="Arial"/>
                <w:sz w:val="20"/>
                <w:szCs w:val="20"/>
              </w:rPr>
              <w:t>North Yorkshire</w:t>
            </w:r>
            <w:r w:rsidR="004C4ABB">
              <w:rPr>
                <w:rFonts w:ascii="Arial" w:eastAsia="Times New Roman" w:hAnsi="Arial" w:cs="Arial"/>
                <w:sz w:val="20"/>
                <w:szCs w:val="20"/>
              </w:rPr>
              <w:t xml:space="preserve"> impacting </w:t>
            </w:r>
            <w:r w:rsidR="007F4372" w:rsidRPr="007F4372">
              <w:rPr>
                <w:rFonts w:ascii="Arial" w:eastAsia="Times New Roman" w:hAnsi="Arial" w:cs="Arial"/>
                <w:sz w:val="20"/>
                <w:szCs w:val="20"/>
              </w:rPr>
              <w:t>on reserves</w:t>
            </w:r>
            <w:r w:rsidR="0081365E">
              <w:rPr>
                <w:rFonts w:ascii="Arial" w:eastAsia="Times New Roman" w:hAnsi="Arial" w:cs="Arial"/>
                <w:sz w:val="20"/>
                <w:szCs w:val="20"/>
              </w:rPr>
              <w:t>. See paragraph 55/56</w:t>
            </w:r>
            <w:r w:rsidR="00621635">
              <w:rPr>
                <w:rFonts w:ascii="Arial" w:eastAsia="Times New Roman" w:hAnsi="Arial" w:cs="Arial"/>
                <w:sz w:val="20"/>
                <w:szCs w:val="20"/>
              </w:rPr>
              <w:t xml:space="preserve"> (in track change version)</w:t>
            </w:r>
          </w:p>
        </w:tc>
      </w:tr>
      <w:tr w:rsidR="00453CF8" w:rsidRPr="007B2C42" w14:paraId="512C22C0" w14:textId="77777777" w:rsidTr="00453CF8">
        <w:tc>
          <w:tcPr>
            <w:tcW w:w="4508" w:type="dxa"/>
          </w:tcPr>
          <w:p w14:paraId="73A96C1A" w14:textId="6F22B276" w:rsidR="00A7343B" w:rsidRPr="00465F49" w:rsidRDefault="00A7343B" w:rsidP="00A7343B">
            <w:pPr>
              <w:spacing w:line="276" w:lineRule="auto"/>
              <w:rPr>
                <w:rFonts w:ascii="Arial" w:eastAsia="Times New Roman" w:hAnsi="Arial" w:cs="Arial"/>
                <w:sz w:val="20"/>
                <w:szCs w:val="20"/>
              </w:rPr>
            </w:pPr>
            <w:r w:rsidRPr="00465F49">
              <w:rPr>
                <w:rFonts w:ascii="Arial" w:eastAsia="Times New Roman" w:hAnsi="Arial" w:cs="Arial"/>
                <w:sz w:val="20"/>
                <w:szCs w:val="20"/>
              </w:rPr>
              <w:t xml:space="preserve">Good morning </w:t>
            </w:r>
            <w:r w:rsidR="00AE6641">
              <w:rPr>
                <w:rFonts w:ascii="Arial" w:eastAsia="Times New Roman" w:hAnsi="Arial" w:cs="Arial"/>
                <w:sz w:val="20"/>
                <w:szCs w:val="20"/>
              </w:rPr>
              <w:t>…</w:t>
            </w:r>
          </w:p>
          <w:p w14:paraId="45A510DD" w14:textId="77777777" w:rsidR="00A7343B" w:rsidRPr="00465F49" w:rsidRDefault="00A7343B" w:rsidP="00A7343B">
            <w:pPr>
              <w:spacing w:line="276" w:lineRule="auto"/>
              <w:rPr>
                <w:rFonts w:ascii="Arial" w:eastAsia="Times New Roman" w:hAnsi="Arial" w:cs="Arial"/>
                <w:sz w:val="20"/>
                <w:szCs w:val="20"/>
              </w:rPr>
            </w:pPr>
          </w:p>
          <w:p w14:paraId="6884CC05" w14:textId="77777777" w:rsidR="00A7343B" w:rsidRPr="00465F49" w:rsidRDefault="00A7343B" w:rsidP="00A7343B">
            <w:pPr>
              <w:spacing w:line="276" w:lineRule="auto"/>
              <w:rPr>
                <w:rFonts w:ascii="Arial" w:eastAsia="Times New Roman" w:hAnsi="Arial" w:cs="Arial"/>
                <w:sz w:val="20"/>
                <w:szCs w:val="20"/>
              </w:rPr>
            </w:pPr>
            <w:r w:rsidRPr="00465F49">
              <w:rPr>
                <w:rFonts w:ascii="Arial" w:eastAsia="Times New Roman" w:hAnsi="Arial" w:cs="Arial"/>
                <w:sz w:val="20"/>
                <w:szCs w:val="20"/>
              </w:rPr>
              <w:t xml:space="preserve">I hope you both had a good weekend. We have had a look at the Doncaster and Rotherham </w:t>
            </w:r>
            <w:proofErr w:type="gramStart"/>
            <w:r w:rsidRPr="00465F49">
              <w:rPr>
                <w:rFonts w:ascii="Arial" w:eastAsia="Times New Roman" w:hAnsi="Arial" w:cs="Arial"/>
                <w:sz w:val="20"/>
                <w:szCs w:val="20"/>
              </w:rPr>
              <w:t>LAA</w:t>
            </w:r>
            <w:proofErr w:type="gramEnd"/>
            <w:r w:rsidRPr="00465F49">
              <w:rPr>
                <w:rFonts w:ascii="Arial" w:eastAsia="Times New Roman" w:hAnsi="Arial" w:cs="Arial"/>
                <w:sz w:val="20"/>
                <w:szCs w:val="20"/>
              </w:rPr>
              <w:t xml:space="preserve"> and we have the following comments:</w:t>
            </w:r>
          </w:p>
          <w:p w14:paraId="4993BE92" w14:textId="77777777" w:rsidR="00A7343B" w:rsidRPr="00465F49" w:rsidRDefault="00A7343B" w:rsidP="00A7343B">
            <w:pPr>
              <w:numPr>
                <w:ilvl w:val="0"/>
                <w:numId w:val="37"/>
              </w:numPr>
              <w:spacing w:line="276" w:lineRule="auto"/>
              <w:rPr>
                <w:rFonts w:ascii="Arial" w:eastAsia="Times New Roman" w:hAnsi="Arial" w:cs="Arial"/>
                <w:sz w:val="20"/>
                <w:szCs w:val="20"/>
              </w:rPr>
            </w:pPr>
            <w:r w:rsidRPr="00465F49">
              <w:rPr>
                <w:rFonts w:ascii="Arial" w:eastAsia="Times New Roman" w:hAnsi="Arial" w:cs="Arial"/>
                <w:sz w:val="20"/>
                <w:szCs w:val="20"/>
              </w:rPr>
              <w:t xml:space="preserve">Regarding Table ii on housing growth, Kirklees Council are currently in the process of preparing a new Local Plan and as such the housing target for the </w:t>
            </w:r>
            <w:proofErr w:type="gramStart"/>
            <w:r w:rsidRPr="00465F49">
              <w:rPr>
                <w:rFonts w:ascii="Arial" w:eastAsia="Times New Roman" w:hAnsi="Arial" w:cs="Arial"/>
                <w:sz w:val="20"/>
                <w:szCs w:val="20"/>
              </w:rPr>
              <w:t>District</w:t>
            </w:r>
            <w:proofErr w:type="gramEnd"/>
            <w:r w:rsidRPr="00465F49">
              <w:rPr>
                <w:rFonts w:ascii="Arial" w:eastAsia="Times New Roman" w:hAnsi="Arial" w:cs="Arial"/>
                <w:sz w:val="20"/>
                <w:szCs w:val="20"/>
              </w:rPr>
              <w:t xml:space="preserve"> may be subject to change in the coming months and years.</w:t>
            </w:r>
          </w:p>
          <w:p w14:paraId="4402D050" w14:textId="77777777" w:rsidR="00A7343B" w:rsidRPr="00465F49" w:rsidRDefault="00A7343B" w:rsidP="00A7343B">
            <w:pPr>
              <w:numPr>
                <w:ilvl w:val="0"/>
                <w:numId w:val="37"/>
              </w:numPr>
              <w:spacing w:line="276" w:lineRule="auto"/>
              <w:rPr>
                <w:rFonts w:ascii="Arial" w:eastAsia="Times New Roman" w:hAnsi="Arial" w:cs="Arial"/>
                <w:sz w:val="20"/>
                <w:szCs w:val="20"/>
              </w:rPr>
            </w:pPr>
            <w:r w:rsidRPr="00465F49">
              <w:rPr>
                <w:rFonts w:ascii="Arial" w:eastAsia="Times New Roman" w:hAnsi="Arial" w:cs="Arial"/>
                <w:sz w:val="20"/>
                <w:szCs w:val="20"/>
              </w:rPr>
              <w:t xml:space="preserve">With regards to the question about how CD&amp;E Waste is estimated, when BPP Consulting prepared the West Yorkshire LAA (WYLAA) on behalf of the West </w:t>
            </w:r>
            <w:r w:rsidRPr="00465F49">
              <w:rPr>
                <w:rFonts w:ascii="Arial" w:eastAsia="Times New Roman" w:hAnsi="Arial" w:cs="Arial"/>
                <w:sz w:val="20"/>
                <w:szCs w:val="20"/>
              </w:rPr>
              <w:lastRenderedPageBreak/>
              <w:t>Yorkshire authorities, they seemed to use all the Chapter 17 codes, sub chapter 19 13 (remediated soils) along with waste codes 19 12 09 (minerals e.g. sand and stones) and 20 02 02 (soil and stones) but not the 01, 10 and 16 coded waste listed in your LAA. For further detail on the West Yorkshire approach, it may be worth speaking to Ian Blake at BPP Consulting.</w:t>
            </w:r>
          </w:p>
          <w:p w14:paraId="3AFE6EC5" w14:textId="77777777" w:rsidR="00A7343B" w:rsidRPr="00465F49" w:rsidRDefault="00A7343B" w:rsidP="00A7343B">
            <w:pPr>
              <w:numPr>
                <w:ilvl w:val="0"/>
                <w:numId w:val="37"/>
              </w:numPr>
              <w:spacing w:line="276" w:lineRule="auto"/>
              <w:rPr>
                <w:rFonts w:ascii="Arial" w:eastAsia="Times New Roman" w:hAnsi="Arial" w:cs="Arial"/>
                <w:sz w:val="20"/>
                <w:szCs w:val="20"/>
              </w:rPr>
            </w:pPr>
            <w:r w:rsidRPr="00465F49">
              <w:rPr>
                <w:rFonts w:ascii="Arial" w:eastAsia="Times New Roman" w:hAnsi="Arial" w:cs="Arial"/>
                <w:sz w:val="20"/>
                <w:szCs w:val="20"/>
              </w:rPr>
              <w:t>If you want more of a steer in developing an idea of Secondary Aggregate Production in South Yorkshire, BPP Consulting also considered West Yorkshire’s Secondary Aggregate position by looking at the multi-fuel and EfW facilities that were generating incinerator bottom ash (IBA) and then looking at the facilities receiving IBA from West Yorkshire e.g. there is an EfW plant in Huddersfield and the IBA from there is sent to the Cleveland IBA facility in Stockton on Tees.</w:t>
            </w:r>
          </w:p>
          <w:p w14:paraId="4DEC5003" w14:textId="77777777" w:rsidR="00A7343B" w:rsidRPr="00465F49" w:rsidRDefault="00A7343B" w:rsidP="00A7343B">
            <w:pPr>
              <w:spacing w:line="276" w:lineRule="auto"/>
              <w:rPr>
                <w:rFonts w:ascii="Arial" w:eastAsia="Times New Roman" w:hAnsi="Arial" w:cs="Arial"/>
                <w:sz w:val="20"/>
                <w:szCs w:val="20"/>
              </w:rPr>
            </w:pPr>
          </w:p>
          <w:p w14:paraId="1612FEEA" w14:textId="77777777" w:rsidR="00A7343B" w:rsidRPr="00465F49" w:rsidRDefault="00A7343B" w:rsidP="00A7343B">
            <w:pPr>
              <w:spacing w:line="276" w:lineRule="auto"/>
              <w:rPr>
                <w:rFonts w:ascii="Arial" w:eastAsia="Times New Roman" w:hAnsi="Arial" w:cs="Arial"/>
                <w:sz w:val="20"/>
                <w:szCs w:val="20"/>
              </w:rPr>
            </w:pPr>
            <w:r w:rsidRPr="00465F49">
              <w:rPr>
                <w:rFonts w:ascii="Arial" w:eastAsia="Times New Roman" w:hAnsi="Arial" w:cs="Arial"/>
                <w:sz w:val="20"/>
                <w:szCs w:val="20"/>
              </w:rPr>
              <w:t xml:space="preserve">Kirklees Council </w:t>
            </w:r>
          </w:p>
          <w:p w14:paraId="215E2613" w14:textId="77777777" w:rsidR="00453CF8" w:rsidRPr="00465F49" w:rsidRDefault="00453CF8" w:rsidP="00D73374">
            <w:pPr>
              <w:spacing w:line="276" w:lineRule="auto"/>
              <w:rPr>
                <w:rFonts w:ascii="Arial" w:eastAsia="Times New Roman" w:hAnsi="Arial" w:cs="Arial"/>
                <w:sz w:val="20"/>
                <w:szCs w:val="20"/>
              </w:rPr>
            </w:pPr>
          </w:p>
        </w:tc>
        <w:tc>
          <w:tcPr>
            <w:tcW w:w="4508" w:type="dxa"/>
          </w:tcPr>
          <w:p w14:paraId="6BC64B50" w14:textId="77777777" w:rsidR="00453CF8" w:rsidRDefault="00453CF8" w:rsidP="00D73374">
            <w:pPr>
              <w:spacing w:line="276" w:lineRule="auto"/>
              <w:rPr>
                <w:rFonts w:ascii="Arial" w:eastAsia="Times New Roman" w:hAnsi="Arial" w:cs="Arial"/>
                <w:sz w:val="20"/>
                <w:szCs w:val="20"/>
              </w:rPr>
            </w:pPr>
          </w:p>
          <w:p w14:paraId="6DAB932A" w14:textId="77777777" w:rsidR="007B3222" w:rsidRDefault="007B3222" w:rsidP="00D73374">
            <w:pPr>
              <w:spacing w:line="276" w:lineRule="auto"/>
              <w:rPr>
                <w:rFonts w:ascii="Arial" w:eastAsia="Times New Roman" w:hAnsi="Arial" w:cs="Arial"/>
                <w:sz w:val="20"/>
                <w:szCs w:val="20"/>
              </w:rPr>
            </w:pPr>
          </w:p>
          <w:p w14:paraId="3A1FD292" w14:textId="77777777" w:rsidR="007B3222" w:rsidRDefault="007B3222" w:rsidP="00D73374">
            <w:pPr>
              <w:spacing w:line="276" w:lineRule="auto"/>
              <w:rPr>
                <w:rFonts w:ascii="Arial" w:eastAsia="Times New Roman" w:hAnsi="Arial" w:cs="Arial"/>
                <w:sz w:val="20"/>
                <w:szCs w:val="20"/>
              </w:rPr>
            </w:pPr>
          </w:p>
          <w:p w14:paraId="18FAEDF2" w14:textId="77777777" w:rsidR="007B3222" w:rsidRDefault="007B3222" w:rsidP="00D73374">
            <w:pPr>
              <w:spacing w:line="276" w:lineRule="auto"/>
              <w:rPr>
                <w:rFonts w:ascii="Arial" w:eastAsia="Times New Roman" w:hAnsi="Arial" w:cs="Arial"/>
                <w:sz w:val="20"/>
                <w:szCs w:val="20"/>
              </w:rPr>
            </w:pPr>
          </w:p>
          <w:p w14:paraId="781DD9BD" w14:textId="77777777" w:rsidR="007B3222" w:rsidRDefault="007B3222" w:rsidP="00D73374">
            <w:pPr>
              <w:spacing w:line="276" w:lineRule="auto"/>
              <w:rPr>
                <w:rFonts w:ascii="Arial" w:eastAsia="Times New Roman" w:hAnsi="Arial" w:cs="Arial"/>
                <w:sz w:val="20"/>
                <w:szCs w:val="20"/>
              </w:rPr>
            </w:pPr>
          </w:p>
          <w:p w14:paraId="6B87D5BB" w14:textId="77777777" w:rsidR="007B3222" w:rsidRDefault="007634EE" w:rsidP="00D73374">
            <w:pPr>
              <w:spacing w:line="276" w:lineRule="auto"/>
              <w:rPr>
                <w:rFonts w:ascii="Arial" w:eastAsia="Times New Roman" w:hAnsi="Arial" w:cs="Arial"/>
                <w:sz w:val="20"/>
                <w:szCs w:val="20"/>
              </w:rPr>
            </w:pPr>
            <w:r>
              <w:rPr>
                <w:rFonts w:ascii="Arial" w:eastAsia="Times New Roman" w:hAnsi="Arial" w:cs="Arial"/>
                <w:sz w:val="20"/>
                <w:szCs w:val="20"/>
              </w:rPr>
              <w:t xml:space="preserve">I acknowledge the </w:t>
            </w:r>
            <w:r w:rsidR="00FA02F5">
              <w:rPr>
                <w:rFonts w:ascii="Arial" w:eastAsia="Times New Roman" w:hAnsi="Arial" w:cs="Arial"/>
                <w:sz w:val="20"/>
                <w:szCs w:val="20"/>
              </w:rPr>
              <w:t xml:space="preserve">chapter on ‘assessment of future supply’ will need addressing following </w:t>
            </w:r>
            <w:r w:rsidR="001B2A4A">
              <w:rPr>
                <w:rFonts w:ascii="Arial" w:eastAsia="Times New Roman" w:hAnsi="Arial" w:cs="Arial"/>
                <w:sz w:val="20"/>
                <w:szCs w:val="20"/>
              </w:rPr>
              <w:t xml:space="preserve">increased housing targets. </w:t>
            </w:r>
            <w:r w:rsidR="00437DD2">
              <w:rPr>
                <w:rFonts w:ascii="Arial" w:eastAsia="Times New Roman" w:hAnsi="Arial" w:cs="Arial"/>
                <w:sz w:val="20"/>
                <w:szCs w:val="20"/>
              </w:rPr>
              <w:t xml:space="preserve">I propose to do update </w:t>
            </w:r>
            <w:r w:rsidR="009C523B">
              <w:rPr>
                <w:rFonts w:ascii="Arial" w:eastAsia="Times New Roman" w:hAnsi="Arial" w:cs="Arial"/>
                <w:sz w:val="20"/>
                <w:szCs w:val="20"/>
              </w:rPr>
              <w:t>our ‘Forecasting Aggregate Demand’ note in time for the next LAA.</w:t>
            </w:r>
          </w:p>
          <w:p w14:paraId="3950E9B7" w14:textId="77777777" w:rsidR="005A0AF9" w:rsidRDefault="005A0AF9" w:rsidP="00D73374">
            <w:pPr>
              <w:spacing w:line="276" w:lineRule="auto"/>
              <w:rPr>
                <w:rFonts w:ascii="Arial" w:eastAsia="Times New Roman" w:hAnsi="Arial" w:cs="Arial"/>
                <w:sz w:val="20"/>
                <w:szCs w:val="20"/>
              </w:rPr>
            </w:pPr>
          </w:p>
          <w:p w14:paraId="0F38C8E2" w14:textId="70419F99" w:rsidR="00743A3E" w:rsidRDefault="00781CFE" w:rsidP="00D73374">
            <w:pPr>
              <w:spacing w:line="276" w:lineRule="auto"/>
              <w:rPr>
                <w:rFonts w:ascii="Arial" w:eastAsia="Times New Roman" w:hAnsi="Arial" w:cs="Arial"/>
                <w:sz w:val="20"/>
                <w:szCs w:val="20"/>
              </w:rPr>
            </w:pPr>
            <w:r>
              <w:rPr>
                <w:rFonts w:ascii="Arial" w:eastAsia="Times New Roman" w:hAnsi="Arial" w:cs="Arial"/>
                <w:sz w:val="20"/>
                <w:szCs w:val="20"/>
              </w:rPr>
              <w:t xml:space="preserve">The </w:t>
            </w:r>
            <w:r w:rsidR="00681213">
              <w:rPr>
                <w:rFonts w:ascii="Arial" w:eastAsia="Times New Roman" w:hAnsi="Arial" w:cs="Arial"/>
                <w:sz w:val="20"/>
                <w:szCs w:val="20"/>
              </w:rPr>
              <w:t xml:space="preserve">’01, 10, and 16’ codes are CDE, so for this year I think I will leave them </w:t>
            </w:r>
            <w:r w:rsidR="002C7678">
              <w:rPr>
                <w:rFonts w:ascii="Arial" w:eastAsia="Times New Roman" w:hAnsi="Arial" w:cs="Arial"/>
                <w:sz w:val="20"/>
                <w:szCs w:val="20"/>
              </w:rPr>
              <w:t xml:space="preserve">and address it in the </w:t>
            </w:r>
            <w:r w:rsidR="00EA6E27">
              <w:rPr>
                <w:rFonts w:ascii="Arial" w:eastAsia="Times New Roman" w:hAnsi="Arial" w:cs="Arial"/>
                <w:sz w:val="20"/>
                <w:szCs w:val="20"/>
              </w:rPr>
              <w:t>2025</w:t>
            </w:r>
            <w:r w:rsidR="002C7678">
              <w:rPr>
                <w:rFonts w:ascii="Arial" w:eastAsia="Times New Roman" w:hAnsi="Arial" w:cs="Arial"/>
                <w:sz w:val="20"/>
                <w:szCs w:val="20"/>
              </w:rPr>
              <w:t xml:space="preserve"> LAA,</w:t>
            </w:r>
            <w:r w:rsidR="00EA6E27">
              <w:rPr>
                <w:rFonts w:ascii="Arial" w:eastAsia="Times New Roman" w:hAnsi="Arial" w:cs="Arial"/>
                <w:sz w:val="20"/>
                <w:szCs w:val="20"/>
              </w:rPr>
              <w:t xml:space="preserve"> as</w:t>
            </w:r>
            <w:r w:rsidR="002C7678">
              <w:rPr>
                <w:rFonts w:ascii="Arial" w:eastAsia="Times New Roman" w:hAnsi="Arial" w:cs="Arial"/>
                <w:sz w:val="20"/>
                <w:szCs w:val="20"/>
              </w:rPr>
              <w:t xml:space="preserve"> it would entail both authorities doing some </w:t>
            </w:r>
            <w:r w:rsidR="00E90F94">
              <w:rPr>
                <w:rFonts w:ascii="Arial" w:eastAsia="Times New Roman" w:hAnsi="Arial" w:cs="Arial"/>
                <w:sz w:val="20"/>
                <w:szCs w:val="20"/>
              </w:rPr>
              <w:t xml:space="preserve">significant </w:t>
            </w:r>
            <w:r w:rsidR="00EA6E27">
              <w:rPr>
                <w:rFonts w:ascii="Arial" w:eastAsia="Times New Roman" w:hAnsi="Arial" w:cs="Arial"/>
                <w:sz w:val="20"/>
                <w:szCs w:val="20"/>
              </w:rPr>
              <w:t xml:space="preserve">data sorting and number </w:t>
            </w:r>
            <w:r w:rsidR="00EA6E27">
              <w:rPr>
                <w:rFonts w:ascii="Arial" w:eastAsia="Times New Roman" w:hAnsi="Arial" w:cs="Arial"/>
                <w:sz w:val="20"/>
                <w:szCs w:val="20"/>
              </w:rPr>
              <w:lastRenderedPageBreak/>
              <w:t xml:space="preserve">crunching. </w:t>
            </w:r>
            <w:r w:rsidR="00E90F94">
              <w:rPr>
                <w:rFonts w:ascii="Arial" w:eastAsia="Times New Roman" w:hAnsi="Arial" w:cs="Arial"/>
                <w:sz w:val="20"/>
                <w:szCs w:val="20"/>
              </w:rPr>
              <w:t>T</w:t>
            </w:r>
            <w:r w:rsidR="007C1016">
              <w:rPr>
                <w:rFonts w:ascii="Arial" w:eastAsia="Times New Roman" w:hAnsi="Arial" w:cs="Arial"/>
                <w:sz w:val="20"/>
                <w:szCs w:val="20"/>
              </w:rPr>
              <w:t xml:space="preserve">he </w:t>
            </w:r>
            <w:r w:rsidR="00542666">
              <w:rPr>
                <w:rFonts w:ascii="Arial" w:eastAsia="Times New Roman" w:hAnsi="Arial" w:cs="Arial"/>
                <w:sz w:val="20"/>
                <w:szCs w:val="20"/>
              </w:rPr>
              <w:t xml:space="preserve">proposed </w:t>
            </w:r>
            <w:r w:rsidR="007C1016">
              <w:rPr>
                <w:rFonts w:ascii="Arial" w:eastAsia="Times New Roman" w:hAnsi="Arial" w:cs="Arial"/>
                <w:sz w:val="20"/>
                <w:szCs w:val="20"/>
              </w:rPr>
              <w:t>changes in housing numbers also affect the forecasting in our WNA so I have deleted some paragraphs from the LAA and cited th</w:t>
            </w:r>
            <w:r w:rsidR="008038A6">
              <w:rPr>
                <w:rFonts w:ascii="Arial" w:eastAsia="Times New Roman" w:hAnsi="Arial" w:cs="Arial"/>
                <w:sz w:val="20"/>
                <w:szCs w:val="20"/>
              </w:rPr>
              <w:t>e relevant sections in a sentence.</w:t>
            </w:r>
            <w:r w:rsidR="00E85C0E">
              <w:rPr>
                <w:rFonts w:ascii="Arial" w:eastAsia="Times New Roman" w:hAnsi="Arial" w:cs="Arial"/>
                <w:sz w:val="20"/>
                <w:szCs w:val="20"/>
              </w:rPr>
              <w:t xml:space="preserve"> The CDE information </w:t>
            </w:r>
            <w:r w:rsidR="00014E32">
              <w:rPr>
                <w:rFonts w:ascii="Arial" w:eastAsia="Times New Roman" w:hAnsi="Arial" w:cs="Arial"/>
                <w:sz w:val="20"/>
                <w:szCs w:val="20"/>
              </w:rPr>
              <w:t>isn’t a proxy for secondary and recycled aggregates</w:t>
            </w:r>
            <w:r w:rsidR="001D7F56">
              <w:rPr>
                <w:rFonts w:ascii="Arial" w:eastAsia="Times New Roman" w:hAnsi="Arial" w:cs="Arial"/>
                <w:sz w:val="20"/>
                <w:szCs w:val="20"/>
              </w:rPr>
              <w:t>, a standard methodology to estimate this would be very much welcomed.</w:t>
            </w:r>
            <w:r w:rsidR="00014E32">
              <w:rPr>
                <w:rFonts w:ascii="Arial" w:eastAsia="Times New Roman" w:hAnsi="Arial" w:cs="Arial"/>
                <w:sz w:val="20"/>
                <w:szCs w:val="20"/>
              </w:rPr>
              <w:t xml:space="preserve"> </w:t>
            </w:r>
            <w:r w:rsidR="008038A6">
              <w:rPr>
                <w:rFonts w:ascii="Arial" w:eastAsia="Times New Roman" w:hAnsi="Arial" w:cs="Arial"/>
                <w:sz w:val="20"/>
                <w:szCs w:val="20"/>
              </w:rPr>
              <w:t xml:space="preserve"> </w:t>
            </w:r>
          </w:p>
          <w:p w14:paraId="55CC092E" w14:textId="77777777" w:rsidR="00743A3E" w:rsidRDefault="00743A3E" w:rsidP="00D73374">
            <w:pPr>
              <w:spacing w:line="276" w:lineRule="auto"/>
              <w:rPr>
                <w:rFonts w:ascii="Arial" w:eastAsia="Times New Roman" w:hAnsi="Arial" w:cs="Arial"/>
                <w:sz w:val="20"/>
                <w:szCs w:val="20"/>
              </w:rPr>
            </w:pPr>
          </w:p>
          <w:p w14:paraId="6A1D7407" w14:textId="77777777" w:rsidR="00743A3E" w:rsidRDefault="00743A3E" w:rsidP="00D73374">
            <w:pPr>
              <w:spacing w:line="276" w:lineRule="auto"/>
              <w:rPr>
                <w:rFonts w:ascii="Arial" w:eastAsia="Times New Roman" w:hAnsi="Arial" w:cs="Arial"/>
                <w:sz w:val="20"/>
                <w:szCs w:val="20"/>
              </w:rPr>
            </w:pPr>
          </w:p>
          <w:p w14:paraId="78D95A3B" w14:textId="77777777" w:rsidR="00743A3E" w:rsidRDefault="00743A3E" w:rsidP="00D73374">
            <w:pPr>
              <w:spacing w:line="276" w:lineRule="auto"/>
              <w:rPr>
                <w:rFonts w:ascii="Arial" w:eastAsia="Times New Roman" w:hAnsi="Arial" w:cs="Arial"/>
                <w:sz w:val="20"/>
                <w:szCs w:val="20"/>
              </w:rPr>
            </w:pPr>
          </w:p>
          <w:p w14:paraId="30766BD7" w14:textId="77777777" w:rsidR="00743A3E" w:rsidRDefault="00743A3E" w:rsidP="00D73374">
            <w:pPr>
              <w:spacing w:line="276" w:lineRule="auto"/>
              <w:rPr>
                <w:rFonts w:ascii="Arial" w:eastAsia="Times New Roman" w:hAnsi="Arial" w:cs="Arial"/>
                <w:sz w:val="20"/>
                <w:szCs w:val="20"/>
              </w:rPr>
            </w:pPr>
          </w:p>
          <w:p w14:paraId="73B99C0B" w14:textId="77777777" w:rsidR="00743A3E" w:rsidRDefault="00743A3E" w:rsidP="00D73374">
            <w:pPr>
              <w:spacing w:line="276" w:lineRule="auto"/>
              <w:rPr>
                <w:rFonts w:ascii="Arial" w:eastAsia="Times New Roman" w:hAnsi="Arial" w:cs="Arial"/>
                <w:sz w:val="20"/>
                <w:szCs w:val="20"/>
              </w:rPr>
            </w:pPr>
          </w:p>
          <w:p w14:paraId="33E772CE" w14:textId="117A6EE4" w:rsidR="005A0AF9" w:rsidRPr="001364EC" w:rsidRDefault="00743A3E" w:rsidP="00D73374">
            <w:pPr>
              <w:spacing w:line="276" w:lineRule="auto"/>
              <w:rPr>
                <w:rFonts w:ascii="Arial" w:eastAsia="Times New Roman" w:hAnsi="Arial" w:cs="Arial"/>
                <w:sz w:val="20"/>
                <w:szCs w:val="20"/>
              </w:rPr>
            </w:pPr>
            <w:r>
              <w:rPr>
                <w:rFonts w:ascii="Arial" w:eastAsia="Times New Roman" w:hAnsi="Arial" w:cs="Arial"/>
                <w:sz w:val="20"/>
                <w:szCs w:val="20"/>
              </w:rPr>
              <w:t xml:space="preserve">I looked at </w:t>
            </w:r>
            <w:r w:rsidR="00372AA5">
              <w:rPr>
                <w:rFonts w:ascii="Arial" w:eastAsia="Times New Roman" w:hAnsi="Arial" w:cs="Arial"/>
                <w:sz w:val="20"/>
                <w:szCs w:val="20"/>
              </w:rPr>
              <w:t xml:space="preserve">EfW and </w:t>
            </w:r>
            <w:proofErr w:type="gramStart"/>
            <w:r w:rsidR="00372AA5">
              <w:rPr>
                <w:rFonts w:ascii="Arial" w:eastAsia="Times New Roman" w:hAnsi="Arial" w:cs="Arial"/>
                <w:sz w:val="20"/>
                <w:szCs w:val="20"/>
              </w:rPr>
              <w:t>IBA</w:t>
            </w:r>
            <w:proofErr w:type="gramEnd"/>
            <w:r w:rsidR="00372AA5">
              <w:rPr>
                <w:rFonts w:ascii="Arial" w:eastAsia="Times New Roman" w:hAnsi="Arial" w:cs="Arial"/>
                <w:sz w:val="20"/>
                <w:szCs w:val="20"/>
              </w:rPr>
              <w:t xml:space="preserve"> but we don’t currently have either of those facilities in Doncaster or Rotherham although we do have a consented site</w:t>
            </w:r>
            <w:r w:rsidR="00F87C3A">
              <w:rPr>
                <w:rFonts w:ascii="Arial" w:eastAsia="Times New Roman" w:hAnsi="Arial" w:cs="Arial"/>
                <w:sz w:val="20"/>
                <w:szCs w:val="20"/>
              </w:rPr>
              <w:t>, which has not been developed yet.</w:t>
            </w:r>
            <w:r w:rsidR="00C44691">
              <w:rPr>
                <w:rFonts w:ascii="Arial" w:eastAsia="Times New Roman" w:hAnsi="Arial" w:cs="Arial"/>
                <w:sz w:val="20"/>
                <w:szCs w:val="20"/>
              </w:rPr>
              <w:t xml:space="preserve"> </w:t>
            </w:r>
          </w:p>
        </w:tc>
      </w:tr>
      <w:tr w:rsidR="004952A8" w:rsidRPr="007B2C42" w14:paraId="269CE32E" w14:textId="77777777" w:rsidTr="00290B34">
        <w:trPr>
          <w:tblHeader/>
        </w:trPr>
        <w:tc>
          <w:tcPr>
            <w:tcW w:w="4508" w:type="dxa"/>
          </w:tcPr>
          <w:p w14:paraId="68D6BA57" w14:textId="77777777" w:rsidR="00DA43B5" w:rsidRPr="00465F49" w:rsidRDefault="00DA43B5" w:rsidP="00DA43B5">
            <w:pPr>
              <w:spacing w:line="276" w:lineRule="auto"/>
              <w:rPr>
                <w:rFonts w:ascii="Arial" w:eastAsia="Times New Roman" w:hAnsi="Arial" w:cs="Arial"/>
                <w:sz w:val="20"/>
                <w:szCs w:val="20"/>
              </w:rPr>
            </w:pPr>
            <w:r w:rsidRPr="00465F49">
              <w:rPr>
                <w:rFonts w:ascii="Arial" w:eastAsia="Times New Roman" w:hAnsi="Arial" w:cs="Arial"/>
                <w:sz w:val="20"/>
                <w:szCs w:val="20"/>
              </w:rPr>
              <w:lastRenderedPageBreak/>
              <w:t>Hi All</w:t>
            </w:r>
          </w:p>
          <w:p w14:paraId="10B79059" w14:textId="77777777" w:rsidR="00DA43B5" w:rsidRPr="00465F49" w:rsidRDefault="00DA43B5" w:rsidP="00DA43B5">
            <w:pPr>
              <w:spacing w:line="276" w:lineRule="auto"/>
              <w:rPr>
                <w:rFonts w:ascii="Arial" w:eastAsia="Times New Roman" w:hAnsi="Arial" w:cs="Arial"/>
                <w:sz w:val="20"/>
                <w:szCs w:val="20"/>
              </w:rPr>
            </w:pPr>
          </w:p>
          <w:p w14:paraId="6D2959A8" w14:textId="77777777" w:rsidR="00DA43B5" w:rsidRPr="00465F49" w:rsidRDefault="00DA43B5" w:rsidP="00DA43B5">
            <w:pPr>
              <w:spacing w:line="276" w:lineRule="auto"/>
              <w:rPr>
                <w:rFonts w:ascii="Arial" w:eastAsia="Times New Roman" w:hAnsi="Arial" w:cs="Arial"/>
                <w:sz w:val="20"/>
                <w:szCs w:val="20"/>
              </w:rPr>
            </w:pPr>
            <w:r w:rsidRPr="00465F49">
              <w:rPr>
                <w:rFonts w:ascii="Arial" w:eastAsia="Times New Roman" w:hAnsi="Arial" w:cs="Arial"/>
                <w:sz w:val="20"/>
                <w:szCs w:val="20"/>
              </w:rPr>
              <w:t xml:space="preserve">Apologies for the delay in responding to this.  This appears to be a logical approach to reduce the estimated demand for primary aggregates, and presumably this will continue to </w:t>
            </w:r>
            <w:r w:rsidRPr="00465F49">
              <w:rPr>
                <w:rFonts w:ascii="Arial" w:eastAsia="Times New Roman" w:hAnsi="Arial" w:cs="Arial"/>
                <w:sz w:val="20"/>
                <w:szCs w:val="20"/>
              </w:rPr>
              <w:lastRenderedPageBreak/>
              <w:t>be monitored through the annual assessments to understand whether this is a realistic assumption on an ongoing basis, or whether it needs to be re-evaluated.</w:t>
            </w:r>
          </w:p>
          <w:p w14:paraId="66616C21" w14:textId="77777777" w:rsidR="00DA43B5" w:rsidRPr="00465F49" w:rsidRDefault="00DA43B5" w:rsidP="00DA43B5">
            <w:pPr>
              <w:spacing w:line="276" w:lineRule="auto"/>
              <w:rPr>
                <w:rFonts w:ascii="Arial" w:eastAsia="Times New Roman" w:hAnsi="Arial" w:cs="Arial"/>
                <w:sz w:val="20"/>
                <w:szCs w:val="20"/>
              </w:rPr>
            </w:pPr>
          </w:p>
          <w:p w14:paraId="427E0F9F" w14:textId="77777777" w:rsidR="00DA43B5" w:rsidRPr="00465F49" w:rsidRDefault="00DA43B5" w:rsidP="00DA43B5">
            <w:pPr>
              <w:spacing w:line="276" w:lineRule="auto"/>
              <w:rPr>
                <w:rFonts w:ascii="Arial" w:eastAsia="Times New Roman" w:hAnsi="Arial" w:cs="Arial"/>
                <w:sz w:val="20"/>
                <w:szCs w:val="20"/>
              </w:rPr>
            </w:pPr>
            <w:r w:rsidRPr="00465F49">
              <w:rPr>
                <w:rFonts w:ascii="Arial" w:eastAsia="Times New Roman" w:hAnsi="Arial" w:cs="Arial"/>
                <w:sz w:val="20"/>
                <w:szCs w:val="20"/>
              </w:rPr>
              <w:t>I hope this is sufficient, but if any further discussion or comment is required on this, please let me know.</w:t>
            </w:r>
          </w:p>
          <w:p w14:paraId="792A143C" w14:textId="77777777" w:rsidR="00DA43B5" w:rsidRPr="00465F49" w:rsidRDefault="00DA43B5" w:rsidP="00DA43B5">
            <w:pPr>
              <w:spacing w:line="276" w:lineRule="auto"/>
              <w:rPr>
                <w:rFonts w:ascii="Arial" w:eastAsia="Times New Roman" w:hAnsi="Arial" w:cs="Arial"/>
                <w:sz w:val="20"/>
                <w:szCs w:val="20"/>
              </w:rPr>
            </w:pPr>
          </w:p>
          <w:p w14:paraId="4C56AC92" w14:textId="77777777" w:rsidR="00DA43B5" w:rsidRPr="00465F49" w:rsidRDefault="00DA43B5" w:rsidP="00DA43B5">
            <w:pPr>
              <w:spacing w:line="276" w:lineRule="auto"/>
              <w:rPr>
                <w:rFonts w:ascii="Arial" w:eastAsia="Times New Roman" w:hAnsi="Arial" w:cs="Arial"/>
                <w:b/>
                <w:bCs/>
                <w:i/>
                <w:iCs/>
                <w:sz w:val="20"/>
                <w:szCs w:val="20"/>
              </w:rPr>
            </w:pPr>
            <w:r w:rsidRPr="00465F49">
              <w:rPr>
                <w:rFonts w:ascii="Arial" w:eastAsia="Times New Roman" w:hAnsi="Arial" w:cs="Arial"/>
                <w:b/>
                <w:bCs/>
                <w:i/>
                <w:iCs/>
                <w:sz w:val="20"/>
                <w:szCs w:val="20"/>
              </w:rPr>
              <w:t xml:space="preserve">Wakefield Council </w:t>
            </w:r>
          </w:p>
          <w:p w14:paraId="5456907D" w14:textId="0AAB58CF" w:rsidR="004952A8" w:rsidRPr="00465F49" w:rsidRDefault="004952A8" w:rsidP="00DA43B5">
            <w:pPr>
              <w:spacing w:line="276" w:lineRule="auto"/>
              <w:rPr>
                <w:rFonts w:ascii="Arial" w:eastAsia="Times New Roman" w:hAnsi="Arial" w:cs="Arial"/>
                <w:sz w:val="20"/>
                <w:szCs w:val="20"/>
              </w:rPr>
            </w:pPr>
          </w:p>
        </w:tc>
        <w:tc>
          <w:tcPr>
            <w:tcW w:w="4508" w:type="dxa"/>
          </w:tcPr>
          <w:p w14:paraId="6759326E" w14:textId="77777777" w:rsidR="007919D6" w:rsidRDefault="007919D6" w:rsidP="00D73374">
            <w:pPr>
              <w:spacing w:line="276" w:lineRule="auto"/>
              <w:rPr>
                <w:rFonts w:ascii="Arial" w:eastAsia="Times New Roman" w:hAnsi="Arial" w:cs="Arial"/>
                <w:sz w:val="20"/>
                <w:szCs w:val="20"/>
              </w:rPr>
            </w:pPr>
          </w:p>
          <w:p w14:paraId="1085DAE5" w14:textId="77777777" w:rsidR="00BF1D2C" w:rsidRDefault="00BF1D2C" w:rsidP="00D73374">
            <w:pPr>
              <w:spacing w:line="276" w:lineRule="auto"/>
              <w:rPr>
                <w:rFonts w:ascii="Arial" w:eastAsia="Times New Roman" w:hAnsi="Arial" w:cs="Arial"/>
                <w:sz w:val="20"/>
                <w:szCs w:val="20"/>
              </w:rPr>
            </w:pPr>
          </w:p>
          <w:p w14:paraId="3E9649E0" w14:textId="743FF2F3" w:rsidR="00BF1D2C" w:rsidRPr="001364EC" w:rsidRDefault="00BF1D2C" w:rsidP="00D73374">
            <w:pPr>
              <w:spacing w:line="276" w:lineRule="auto"/>
              <w:rPr>
                <w:rFonts w:ascii="Arial" w:eastAsia="Times New Roman" w:hAnsi="Arial" w:cs="Arial"/>
                <w:sz w:val="20"/>
                <w:szCs w:val="20"/>
              </w:rPr>
            </w:pPr>
            <w:r>
              <w:rPr>
                <w:rFonts w:ascii="Arial" w:eastAsia="Times New Roman" w:hAnsi="Arial" w:cs="Arial"/>
                <w:sz w:val="20"/>
                <w:szCs w:val="20"/>
              </w:rPr>
              <w:t xml:space="preserve">Agreed. No amendments required. </w:t>
            </w:r>
            <w:r w:rsidR="00AB475F">
              <w:rPr>
                <w:rFonts w:ascii="Arial" w:eastAsia="Times New Roman" w:hAnsi="Arial" w:cs="Arial"/>
                <w:sz w:val="20"/>
                <w:szCs w:val="20"/>
              </w:rPr>
              <w:t>Annual monitoring will continue</w:t>
            </w:r>
            <w:r w:rsidR="0001743F">
              <w:rPr>
                <w:rFonts w:ascii="Arial" w:eastAsia="Times New Roman" w:hAnsi="Arial" w:cs="Arial"/>
                <w:sz w:val="20"/>
                <w:szCs w:val="20"/>
              </w:rPr>
              <w:t>.</w:t>
            </w:r>
          </w:p>
        </w:tc>
      </w:tr>
      <w:tr w:rsidR="004952A8" w:rsidRPr="004952A8" w14:paraId="39739A16" w14:textId="77777777" w:rsidTr="00290B34">
        <w:trPr>
          <w:tblHeader/>
        </w:trPr>
        <w:tc>
          <w:tcPr>
            <w:tcW w:w="4508" w:type="dxa"/>
          </w:tcPr>
          <w:p w14:paraId="7FF032A6" w14:textId="613220DA" w:rsidR="00CD18E7" w:rsidRPr="00465F49" w:rsidRDefault="00CD18E7" w:rsidP="00CD18E7">
            <w:pPr>
              <w:pStyle w:val="pf0"/>
              <w:rPr>
                <w:rFonts w:ascii="Arial" w:hAnsi="Arial" w:cs="Arial"/>
                <w:sz w:val="20"/>
                <w:szCs w:val="20"/>
                <w:lang w:eastAsia="en-US"/>
              </w:rPr>
            </w:pPr>
            <w:r w:rsidRPr="00465F49">
              <w:rPr>
                <w:rFonts w:ascii="Arial" w:hAnsi="Arial" w:cs="Arial"/>
                <w:sz w:val="20"/>
                <w:szCs w:val="20"/>
                <w:lang w:eastAsia="en-US"/>
              </w:rPr>
              <w:t xml:space="preserve">From </w:t>
            </w:r>
            <w:r w:rsidR="00A37E12" w:rsidRPr="00465F49">
              <w:rPr>
                <w:rFonts w:ascii="Arial" w:hAnsi="Arial" w:cs="Arial"/>
                <w:sz w:val="20"/>
                <w:szCs w:val="20"/>
                <w:lang w:eastAsia="en-US"/>
              </w:rPr>
              <w:t>Wakefield Council</w:t>
            </w:r>
            <w:r w:rsidRPr="00465F49">
              <w:rPr>
                <w:rFonts w:ascii="Arial" w:hAnsi="Arial" w:cs="Arial"/>
                <w:sz w:val="20"/>
                <w:szCs w:val="20"/>
                <w:lang w:eastAsia="en-US"/>
              </w:rPr>
              <w:t xml:space="preserve"> - For Wakefield the</w:t>
            </w:r>
            <w:r w:rsidR="00396724" w:rsidRPr="00465F49">
              <w:rPr>
                <w:rFonts w:ascii="Arial" w:hAnsi="Arial" w:cs="Arial"/>
                <w:sz w:val="20"/>
                <w:szCs w:val="20"/>
                <w:lang w:eastAsia="en-US"/>
              </w:rPr>
              <w:t xml:space="preserve"> housing numbers</w:t>
            </w:r>
            <w:r w:rsidRPr="00465F49">
              <w:rPr>
                <w:rFonts w:ascii="Arial" w:hAnsi="Arial" w:cs="Arial"/>
                <w:sz w:val="20"/>
                <w:szCs w:val="20"/>
                <w:lang w:eastAsia="en-US"/>
              </w:rPr>
              <w:t xml:space="preserve"> don’t appear to be correct.  According to our published AMRs they should be as follows:</w:t>
            </w:r>
          </w:p>
          <w:p w14:paraId="7708BBB9" w14:textId="6A0A5066" w:rsidR="00CD18E7" w:rsidRPr="00465F49" w:rsidRDefault="00CD18E7" w:rsidP="00CD18E7">
            <w:pPr>
              <w:pStyle w:val="pf0"/>
              <w:rPr>
                <w:rFonts w:ascii="Arial" w:hAnsi="Arial" w:cs="Arial"/>
                <w:sz w:val="20"/>
                <w:szCs w:val="20"/>
                <w:lang w:eastAsia="en-US"/>
              </w:rPr>
            </w:pPr>
            <w:r w:rsidRPr="00465F49">
              <w:rPr>
                <w:rFonts w:ascii="Arial" w:hAnsi="Arial" w:cs="Arial"/>
                <w:sz w:val="20"/>
                <w:szCs w:val="20"/>
                <w:lang w:eastAsia="en-US"/>
              </w:rPr>
              <w:t>2009 - 1,360</w:t>
            </w:r>
            <w:r w:rsidR="00A37E12" w:rsidRPr="00465F49">
              <w:rPr>
                <w:rFonts w:ascii="Arial" w:hAnsi="Arial" w:cs="Arial"/>
                <w:sz w:val="20"/>
                <w:szCs w:val="20"/>
                <w:lang w:eastAsia="en-US"/>
              </w:rPr>
              <w:t xml:space="preserve">, </w:t>
            </w:r>
            <w:r w:rsidRPr="00465F49">
              <w:rPr>
                <w:rFonts w:ascii="Arial" w:hAnsi="Arial" w:cs="Arial"/>
                <w:sz w:val="20"/>
                <w:szCs w:val="20"/>
                <w:lang w:eastAsia="en-US"/>
              </w:rPr>
              <w:t>2014 – 903</w:t>
            </w:r>
            <w:r w:rsidR="00A37E12" w:rsidRPr="00465F49">
              <w:rPr>
                <w:rFonts w:ascii="Arial" w:hAnsi="Arial" w:cs="Arial"/>
                <w:sz w:val="20"/>
                <w:szCs w:val="20"/>
                <w:lang w:eastAsia="en-US"/>
              </w:rPr>
              <w:t xml:space="preserve">, </w:t>
            </w:r>
            <w:r w:rsidRPr="00465F49">
              <w:rPr>
                <w:rFonts w:ascii="Arial" w:hAnsi="Arial" w:cs="Arial"/>
                <w:sz w:val="20"/>
                <w:szCs w:val="20"/>
                <w:lang w:eastAsia="en-US"/>
              </w:rPr>
              <w:t>2019 - 2,148</w:t>
            </w:r>
            <w:r w:rsidR="00A37E12" w:rsidRPr="00465F49">
              <w:rPr>
                <w:rFonts w:ascii="Arial" w:hAnsi="Arial" w:cs="Arial"/>
                <w:sz w:val="20"/>
                <w:szCs w:val="20"/>
                <w:lang w:eastAsia="en-US"/>
              </w:rPr>
              <w:t>.</w:t>
            </w:r>
          </w:p>
          <w:p w14:paraId="5C1E8818" w14:textId="77777777" w:rsidR="004952A8" w:rsidRPr="00465F49" w:rsidRDefault="004952A8" w:rsidP="00D73374">
            <w:pPr>
              <w:spacing w:line="276" w:lineRule="auto"/>
              <w:rPr>
                <w:rFonts w:ascii="Arial" w:eastAsia="Times New Roman" w:hAnsi="Arial" w:cs="Arial"/>
                <w:sz w:val="20"/>
                <w:szCs w:val="20"/>
              </w:rPr>
            </w:pPr>
          </w:p>
        </w:tc>
        <w:tc>
          <w:tcPr>
            <w:tcW w:w="4508" w:type="dxa"/>
          </w:tcPr>
          <w:p w14:paraId="23983BC8" w14:textId="3C584E0E" w:rsidR="00E33075" w:rsidRPr="00E33075" w:rsidRDefault="00E33075" w:rsidP="00E33075">
            <w:pPr>
              <w:spacing w:line="276" w:lineRule="auto"/>
              <w:rPr>
                <w:rFonts w:ascii="Arial" w:eastAsia="Times New Roman" w:hAnsi="Arial" w:cs="Arial"/>
                <w:sz w:val="20"/>
                <w:szCs w:val="20"/>
              </w:rPr>
            </w:pPr>
            <w:r w:rsidRPr="00E33075">
              <w:rPr>
                <w:rFonts w:ascii="Arial" w:eastAsia="Times New Roman" w:hAnsi="Arial" w:cs="Arial"/>
                <w:sz w:val="20"/>
                <w:szCs w:val="20"/>
              </w:rPr>
              <w:t>I</w:t>
            </w:r>
            <w:r w:rsidR="004115B5">
              <w:rPr>
                <w:rFonts w:ascii="Arial" w:eastAsia="Times New Roman" w:hAnsi="Arial" w:cs="Arial"/>
                <w:sz w:val="20"/>
                <w:szCs w:val="20"/>
              </w:rPr>
              <w:t xml:space="preserve"> have updated the figures in the table. I</w:t>
            </w:r>
            <w:r w:rsidRPr="00E33075">
              <w:rPr>
                <w:rFonts w:ascii="Arial" w:eastAsia="Times New Roman" w:hAnsi="Arial" w:cs="Arial"/>
                <w:sz w:val="20"/>
                <w:szCs w:val="20"/>
              </w:rPr>
              <w:t xml:space="preserve"> plan to update the aggregates forecasting for the next iteration of the LAA and will use updated housing figures then. The numbers in the appendix of this LAA are averaged out because minerals data is January to December and housing data is financial </w:t>
            </w:r>
            <w:proofErr w:type="gramStart"/>
            <w:r w:rsidRPr="00E33075">
              <w:rPr>
                <w:rFonts w:ascii="Arial" w:eastAsia="Times New Roman" w:hAnsi="Arial" w:cs="Arial"/>
                <w:sz w:val="20"/>
                <w:szCs w:val="20"/>
              </w:rPr>
              <w:t>years</w:t>
            </w:r>
            <w:proofErr w:type="gramEnd"/>
            <w:r w:rsidRPr="00E33075">
              <w:rPr>
                <w:rFonts w:ascii="Arial" w:eastAsia="Times New Roman" w:hAnsi="Arial" w:cs="Arial"/>
                <w:sz w:val="20"/>
                <w:szCs w:val="20"/>
              </w:rPr>
              <w:t xml:space="preserve"> so it makes forecasting a bit more complicated. It doesn’t explain why your numbers are so different though as I did ask each authority for their input when producing the note. Aggregates Forecasting update is on my ‘to do’ list.</w:t>
            </w:r>
          </w:p>
          <w:p w14:paraId="223A3A28" w14:textId="6E4C5E59" w:rsidR="00E33075" w:rsidRPr="00E33075" w:rsidRDefault="00E33075" w:rsidP="00E33075">
            <w:pPr>
              <w:spacing w:line="276" w:lineRule="auto"/>
              <w:rPr>
                <w:rFonts w:ascii="Arial" w:eastAsia="Times New Roman" w:hAnsi="Arial" w:cs="Arial"/>
                <w:sz w:val="20"/>
                <w:szCs w:val="20"/>
              </w:rPr>
            </w:pPr>
            <w:r w:rsidRPr="00E33075">
              <w:rPr>
                <w:rFonts w:ascii="Arial" w:eastAsia="Times New Roman" w:hAnsi="Arial" w:cs="Arial"/>
                <w:sz w:val="20"/>
                <w:szCs w:val="20"/>
              </w:rPr>
              <w:t>Kind regards</w:t>
            </w:r>
          </w:p>
          <w:p w14:paraId="2ED5C37C" w14:textId="77777777" w:rsidR="00E33075" w:rsidRPr="00E33075" w:rsidRDefault="00E33075" w:rsidP="00E33075">
            <w:pPr>
              <w:spacing w:line="276" w:lineRule="auto"/>
              <w:rPr>
                <w:rFonts w:ascii="Arial" w:eastAsia="Times New Roman" w:hAnsi="Arial" w:cs="Arial"/>
                <w:sz w:val="20"/>
                <w:szCs w:val="20"/>
              </w:rPr>
            </w:pPr>
            <w:r w:rsidRPr="00E33075">
              <w:rPr>
                <w:rFonts w:ascii="Arial" w:eastAsia="Times New Roman" w:hAnsi="Arial" w:cs="Arial"/>
                <w:sz w:val="20"/>
                <w:szCs w:val="20"/>
              </w:rPr>
              <w:t>Helen   </w:t>
            </w:r>
          </w:p>
          <w:p w14:paraId="1A57E833" w14:textId="5845FC86" w:rsidR="00C35191" w:rsidRPr="004952A8" w:rsidRDefault="00C35191" w:rsidP="00D73374">
            <w:pPr>
              <w:spacing w:line="276" w:lineRule="auto"/>
              <w:rPr>
                <w:rFonts w:ascii="Arial" w:eastAsia="Times New Roman" w:hAnsi="Arial" w:cs="Arial"/>
                <w:sz w:val="20"/>
                <w:szCs w:val="20"/>
              </w:rPr>
            </w:pPr>
          </w:p>
        </w:tc>
      </w:tr>
      <w:tr w:rsidR="00F1189B" w:rsidRPr="004952A8" w14:paraId="496C5A22" w14:textId="77777777" w:rsidTr="00290B34">
        <w:trPr>
          <w:tblHeader/>
        </w:trPr>
        <w:tc>
          <w:tcPr>
            <w:tcW w:w="4508" w:type="dxa"/>
          </w:tcPr>
          <w:p w14:paraId="2B560642" w14:textId="55AF0003" w:rsidR="00F11271" w:rsidRDefault="004470A0" w:rsidP="00D73374">
            <w:pPr>
              <w:spacing w:line="276" w:lineRule="auto"/>
              <w:rPr>
                <w:rFonts w:ascii="Arial" w:hAnsi="Arial" w:cs="Arial"/>
                <w:sz w:val="20"/>
                <w:szCs w:val="20"/>
              </w:rPr>
            </w:pPr>
            <w:r>
              <w:rPr>
                <w:rFonts w:ascii="Arial" w:hAnsi="Arial" w:cs="Arial"/>
                <w:sz w:val="20"/>
                <w:szCs w:val="20"/>
              </w:rPr>
              <w:t>MPA additional comments</w:t>
            </w:r>
          </w:p>
          <w:p w14:paraId="5D6ED71E" w14:textId="77777777" w:rsidR="004470A0" w:rsidRDefault="004470A0" w:rsidP="00D73374">
            <w:pPr>
              <w:spacing w:line="276" w:lineRule="auto"/>
              <w:rPr>
                <w:rFonts w:ascii="Arial" w:hAnsi="Arial" w:cs="Arial"/>
                <w:sz w:val="20"/>
                <w:szCs w:val="20"/>
              </w:rPr>
            </w:pPr>
          </w:p>
          <w:p w14:paraId="3772E564" w14:textId="7956C7D6" w:rsidR="004470A0" w:rsidRPr="00465F49" w:rsidRDefault="00FF1D08" w:rsidP="00D73374">
            <w:pPr>
              <w:spacing w:line="276" w:lineRule="auto"/>
              <w:rPr>
                <w:rFonts w:ascii="Arial" w:hAnsi="Arial" w:cs="Arial"/>
                <w:sz w:val="20"/>
                <w:szCs w:val="20"/>
              </w:rPr>
            </w:pPr>
            <w:r w:rsidRPr="00FF1D08">
              <w:rPr>
                <w:rFonts w:ascii="Arial" w:hAnsi="Arial" w:cs="Arial"/>
                <w:noProof/>
                <w:sz w:val="20"/>
                <w:szCs w:val="20"/>
              </w:rPr>
              <w:lastRenderedPageBreak/>
              <w:drawing>
                <wp:inline distT="0" distB="0" distL="0" distR="0" wp14:anchorId="113D47E5" wp14:editId="18377A1F">
                  <wp:extent cx="2787953" cy="186069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96192" cy="1866196"/>
                          </a:xfrm>
                          <a:prstGeom prst="rect">
                            <a:avLst/>
                          </a:prstGeom>
                        </pic:spPr>
                      </pic:pic>
                    </a:graphicData>
                  </a:graphic>
                </wp:inline>
              </w:drawing>
            </w:r>
          </w:p>
        </w:tc>
        <w:tc>
          <w:tcPr>
            <w:tcW w:w="4508" w:type="dxa"/>
          </w:tcPr>
          <w:p w14:paraId="4DD6EDC4" w14:textId="3D90EC21" w:rsidR="00F11271" w:rsidRPr="004952A8" w:rsidRDefault="00B57CE7" w:rsidP="00D73374">
            <w:pPr>
              <w:spacing w:line="276" w:lineRule="auto"/>
              <w:rPr>
                <w:rFonts w:ascii="Arial" w:eastAsia="Times New Roman" w:hAnsi="Arial" w:cs="Arial"/>
                <w:sz w:val="20"/>
                <w:szCs w:val="20"/>
              </w:rPr>
            </w:pPr>
            <w:r>
              <w:rPr>
                <w:rFonts w:ascii="Arial" w:eastAsia="Times New Roman" w:hAnsi="Arial" w:cs="Arial"/>
                <w:sz w:val="20"/>
                <w:szCs w:val="20"/>
              </w:rPr>
              <w:lastRenderedPageBreak/>
              <w:t>Acknowledged.</w:t>
            </w:r>
          </w:p>
        </w:tc>
      </w:tr>
    </w:tbl>
    <w:p w14:paraId="266B6EAC" w14:textId="77777777" w:rsidR="00453CF8" w:rsidRDefault="00453CF8" w:rsidP="00CA7FE2">
      <w:pPr>
        <w:pStyle w:val="Sub-heading"/>
        <w:spacing w:before="240" w:after="240" w:line="276" w:lineRule="auto"/>
        <w:jc w:val="left"/>
        <w:rPr>
          <w:color w:val="auto"/>
          <w:sz w:val="20"/>
        </w:rPr>
      </w:pPr>
    </w:p>
    <w:p w14:paraId="406B0015" w14:textId="77777777" w:rsidR="00453CF8" w:rsidRDefault="00453CF8" w:rsidP="00D73374">
      <w:pPr>
        <w:spacing w:after="160" w:line="276" w:lineRule="auto"/>
        <w:rPr>
          <w:rFonts w:ascii="Arial" w:eastAsia="Times New Roman" w:hAnsi="Arial" w:cs="Arial"/>
          <w:b/>
          <w:sz w:val="20"/>
          <w:szCs w:val="20"/>
        </w:rPr>
      </w:pPr>
      <w:r>
        <w:rPr>
          <w:sz w:val="20"/>
        </w:rPr>
        <w:br w:type="page"/>
      </w:r>
    </w:p>
    <w:p w14:paraId="7FBE8B0E" w14:textId="0281962D" w:rsidR="00E0221C" w:rsidRPr="00793D69" w:rsidRDefault="00E0221C" w:rsidP="00D73374">
      <w:pPr>
        <w:pStyle w:val="Sub-heading"/>
        <w:spacing w:before="240" w:after="240" w:line="276" w:lineRule="auto"/>
        <w:jc w:val="left"/>
        <w:outlineLvl w:val="1"/>
        <w:rPr>
          <w:color w:val="auto"/>
          <w:sz w:val="20"/>
        </w:rPr>
      </w:pPr>
      <w:bookmarkStart w:id="86" w:name="_Toc198549829"/>
      <w:r w:rsidRPr="00793D69">
        <w:rPr>
          <w:color w:val="auto"/>
          <w:sz w:val="20"/>
        </w:rPr>
        <w:lastRenderedPageBreak/>
        <w:t>Appendix Three: Forecasting Aggregate Demand – 2023 LAA Update</w:t>
      </w:r>
      <w:bookmarkEnd w:id="86"/>
    </w:p>
    <w:p w14:paraId="2D11625C" w14:textId="207CF43A" w:rsidR="00793D69" w:rsidRPr="00793D69" w:rsidRDefault="00793D69" w:rsidP="00D73374">
      <w:pPr>
        <w:spacing w:after="240" w:line="276" w:lineRule="auto"/>
        <w:rPr>
          <w:rFonts w:ascii="Calibri" w:eastAsia="Calibri" w:hAnsi="Calibri" w:cs="Times New Roman"/>
        </w:rPr>
      </w:pPr>
      <w:r w:rsidRPr="00793D69">
        <w:rPr>
          <w:rFonts w:ascii="Calibri" w:eastAsia="Calibri" w:hAnsi="Calibri" w:cs="Times New Roman"/>
        </w:rPr>
        <w:t xml:space="preserve">This note explores previous national </w:t>
      </w:r>
      <w:hyperlink r:id="rId28" w:history="1">
        <w:r w:rsidRPr="00793D69">
          <w:rPr>
            <w:rFonts w:ascii="Calibri" w:eastAsia="Calibri" w:hAnsi="Calibri" w:cs="Times New Roman"/>
            <w:color w:val="0563C1"/>
            <w:u w:val="single"/>
          </w:rPr>
          <w:t>Aggregate Minerals Surveys for England and Wales</w:t>
        </w:r>
      </w:hyperlink>
      <w:r w:rsidRPr="00793D69">
        <w:rPr>
          <w:rFonts w:ascii="Calibri" w:eastAsia="Calibri" w:hAnsi="Calibri" w:cs="Times New Roman"/>
        </w:rPr>
        <w:t xml:space="preserve"> from years 2009, 2014 and 2019 alongside information on housing completions sourced from the local authorities in South Yorkshire and West Yorkshire. This information is contained in Tables </w:t>
      </w:r>
      <w:proofErr w:type="spellStart"/>
      <w:r w:rsidRPr="00793D69">
        <w:rPr>
          <w:rFonts w:ascii="Calibri" w:eastAsia="Calibri" w:hAnsi="Calibri" w:cs="Times New Roman"/>
        </w:rPr>
        <w:t>i</w:t>
      </w:r>
      <w:proofErr w:type="spellEnd"/>
      <w:r w:rsidRPr="00793D69">
        <w:rPr>
          <w:rFonts w:ascii="Calibri" w:eastAsia="Calibri" w:hAnsi="Calibri" w:cs="Times New Roman"/>
        </w:rPr>
        <w:t xml:space="preserve"> and ii at the end of this note. The aim is to use this historic information to determine future aggregate demand across the South and West Yorkshire. Please note, that historic monitoring has shown that 8</w:t>
      </w:r>
      <w:r w:rsidR="00941A15">
        <w:rPr>
          <w:rFonts w:ascii="Calibri" w:eastAsia="Calibri" w:hAnsi="Calibri" w:cs="Times New Roman"/>
        </w:rPr>
        <w:t>0 to 90</w:t>
      </w:r>
      <w:r w:rsidRPr="00793D69">
        <w:rPr>
          <w:rFonts w:ascii="Calibri" w:eastAsia="Calibri" w:hAnsi="Calibri" w:cs="Times New Roman"/>
        </w:rPr>
        <w:t xml:space="preserve">% of the aggregate produced in Doncaster is consumed within South Yorkshire and West Yorkshire. </w:t>
      </w:r>
    </w:p>
    <w:p w14:paraId="0EF71E18" w14:textId="77777777" w:rsidR="00793D69" w:rsidRPr="00793D69" w:rsidRDefault="00793D69" w:rsidP="00D73374">
      <w:pPr>
        <w:spacing w:after="240" w:line="276" w:lineRule="auto"/>
        <w:rPr>
          <w:rFonts w:ascii="Calibri" w:eastAsia="Calibri" w:hAnsi="Calibri" w:cs="Times New Roman"/>
          <w:b/>
        </w:rPr>
      </w:pPr>
      <w:r w:rsidRPr="00793D69">
        <w:rPr>
          <w:rFonts w:ascii="Calibri" w:eastAsia="Calibri" w:hAnsi="Calibri" w:cs="Times New Roman"/>
          <w:b/>
        </w:rPr>
        <w:t>What is the percentage of is aggregate required for house building? (with the remainder contributing toward infrastructure requirements)</w:t>
      </w:r>
    </w:p>
    <w:p w14:paraId="394A3AD0" w14:textId="39FDE08A" w:rsidR="00793D69" w:rsidRPr="00793D69" w:rsidRDefault="00793D69" w:rsidP="00D73374">
      <w:pPr>
        <w:spacing w:after="240" w:line="276" w:lineRule="auto"/>
        <w:rPr>
          <w:rFonts w:ascii="Calibri" w:eastAsia="Calibri" w:hAnsi="Calibri" w:cs="Times New Roman"/>
        </w:rPr>
      </w:pPr>
      <w:r w:rsidRPr="00793D69">
        <w:rPr>
          <w:rFonts w:ascii="Calibri" w:eastAsia="Calibri" w:hAnsi="Calibri" w:cs="Times New Roman"/>
        </w:rPr>
        <w:t>A variety of ranges were previously considered in the 2019 Local Plan evidence base document ‘Forecasting Demand for Aggregate’ Paper. These were aggregate demand at 9% (which approximates to 60 tonnes per house (source BGS), 15% (as proposed by the Construction Products Association), 25% (as noted at the January 2019 Y&amp;HAWP meeting). The note also considered a 50% ratio as a precautionary measure. The document concluded that the range of total aggregate demand used for house building was in the range of 25% dwellings and 75% additional infrastructure (including roads and commercial development). The 25% / 75% ratio has been confirmed by the Minerals Products Association</w:t>
      </w:r>
      <w:r w:rsidRPr="00793D69">
        <w:rPr>
          <w:rFonts w:ascii="Calibri" w:eastAsia="Calibri" w:hAnsi="Calibri" w:cs="Times New Roman"/>
          <w:vertAlign w:val="superscript"/>
        </w:rPr>
        <w:footnoteReference w:id="23"/>
      </w:r>
      <w:r w:rsidRPr="00793D69">
        <w:rPr>
          <w:rFonts w:ascii="Calibri" w:eastAsia="Calibri" w:hAnsi="Calibri" w:cs="Times New Roman"/>
        </w:rPr>
        <w:t xml:space="preserve">  as </w:t>
      </w:r>
      <w:r w:rsidR="00941A15">
        <w:rPr>
          <w:rFonts w:ascii="Calibri" w:eastAsia="Calibri" w:hAnsi="Calibri" w:cs="Times New Roman"/>
        </w:rPr>
        <w:t>a representative</w:t>
      </w:r>
      <w:r w:rsidRPr="00793D69">
        <w:rPr>
          <w:rFonts w:ascii="Calibri" w:eastAsia="Calibri" w:hAnsi="Calibri" w:cs="Times New Roman"/>
        </w:rPr>
        <w:t xml:space="preserve"> assumption and will be used to make an approximation of future aggregate demand</w:t>
      </w:r>
      <w:r w:rsidR="00941A15">
        <w:rPr>
          <w:rFonts w:ascii="Calibri" w:eastAsia="Calibri" w:hAnsi="Calibri" w:cs="Times New Roman"/>
        </w:rPr>
        <w:t xml:space="preserve"> for the 2023 LAA</w:t>
      </w:r>
      <w:r w:rsidRPr="00793D69">
        <w:rPr>
          <w:rFonts w:ascii="Calibri" w:eastAsia="Calibri" w:hAnsi="Calibri" w:cs="Times New Roman"/>
        </w:rPr>
        <w:t xml:space="preserve">. This note will therefore consider house-building demand at 25% of the total aggregate consumed, with the remaining 75% contributing to all other infrastructure projects. </w:t>
      </w:r>
    </w:p>
    <w:p w14:paraId="6FBF0AF6" w14:textId="77777777" w:rsidR="00793D69" w:rsidRPr="00793D69" w:rsidRDefault="00793D69" w:rsidP="00D73374">
      <w:pPr>
        <w:spacing w:after="240" w:line="276" w:lineRule="auto"/>
        <w:rPr>
          <w:rFonts w:ascii="Calibri" w:eastAsia="Calibri" w:hAnsi="Calibri" w:cs="Times New Roman"/>
          <w:b/>
          <w:bCs/>
        </w:rPr>
      </w:pPr>
      <w:r w:rsidRPr="00793D69">
        <w:rPr>
          <w:rFonts w:ascii="Calibri" w:eastAsia="Calibri" w:hAnsi="Calibri" w:cs="Times New Roman"/>
          <w:b/>
          <w:bCs/>
        </w:rPr>
        <w:t xml:space="preserve">Interpretation of Table </w:t>
      </w:r>
      <w:proofErr w:type="spellStart"/>
      <w:r w:rsidRPr="00793D69">
        <w:rPr>
          <w:rFonts w:ascii="Calibri" w:eastAsia="Calibri" w:hAnsi="Calibri" w:cs="Times New Roman"/>
          <w:b/>
          <w:bCs/>
        </w:rPr>
        <w:t>i</w:t>
      </w:r>
      <w:proofErr w:type="spellEnd"/>
      <w:r w:rsidRPr="00793D69">
        <w:rPr>
          <w:rFonts w:ascii="Calibri" w:eastAsia="Calibri" w:hAnsi="Calibri" w:cs="Times New Roman"/>
          <w:b/>
          <w:bCs/>
        </w:rPr>
        <w:t xml:space="preserve"> (Housing projections for South and West Yorkshire) and Table ii (Gross Housing Completions by Authority for South and West Yorkshire. Estimated mineral requirements and known mineral consumption for 2009, 2014 and 2019 (National Annual Aggregate Mineral Survey))</w:t>
      </w:r>
    </w:p>
    <w:p w14:paraId="0F147190" w14:textId="77777777" w:rsidR="00793D69" w:rsidRPr="00793D69" w:rsidRDefault="00793D69" w:rsidP="00D73374">
      <w:pPr>
        <w:spacing w:after="240" w:line="276" w:lineRule="auto"/>
        <w:rPr>
          <w:rFonts w:ascii="Calibri" w:eastAsia="Calibri" w:hAnsi="Calibri" w:cs="Times New Roman"/>
        </w:rPr>
      </w:pPr>
      <w:r w:rsidRPr="00793D69">
        <w:rPr>
          <w:rFonts w:ascii="Calibri" w:eastAsia="Calibri" w:hAnsi="Calibri" w:cs="Times New Roman"/>
        </w:rPr>
        <w:t xml:space="preserve">In </w:t>
      </w:r>
      <w:r w:rsidRPr="00793D69">
        <w:rPr>
          <w:rFonts w:ascii="Calibri" w:eastAsia="Calibri" w:hAnsi="Calibri" w:cs="Times New Roman"/>
          <w:b/>
          <w:bCs/>
        </w:rPr>
        <w:t>2009</w:t>
      </w:r>
      <w:r w:rsidRPr="00793D69">
        <w:rPr>
          <w:rFonts w:ascii="Calibri" w:eastAsia="Calibri" w:hAnsi="Calibri" w:cs="Times New Roman"/>
        </w:rPr>
        <w:t xml:space="preserve"> national monitoring identifies South Yorkshire consumed </w:t>
      </w:r>
      <w:r w:rsidRPr="00793D69">
        <w:rPr>
          <w:rFonts w:ascii="Calibri" w:eastAsia="Calibri" w:hAnsi="Calibri" w:cs="Times New Roman"/>
          <w:b/>
          <w:bCs/>
        </w:rPr>
        <w:t>2.8Mt</w:t>
      </w:r>
      <w:r w:rsidRPr="00793D69">
        <w:rPr>
          <w:rFonts w:ascii="Calibri" w:eastAsia="Calibri" w:hAnsi="Calibri" w:cs="Times New Roman"/>
        </w:rPr>
        <w:t xml:space="preserve"> of combined aggregate and housing completions totalled </w:t>
      </w:r>
      <w:r w:rsidRPr="00793D69">
        <w:rPr>
          <w:rFonts w:ascii="Calibri" w:eastAsia="Calibri" w:hAnsi="Calibri" w:cs="Times New Roman"/>
          <w:b/>
          <w:bCs/>
        </w:rPr>
        <w:t xml:space="preserve">3,591 </w:t>
      </w:r>
      <w:r w:rsidRPr="00793D69">
        <w:rPr>
          <w:rFonts w:ascii="Calibri" w:eastAsia="Calibri" w:hAnsi="Calibri" w:cs="Times New Roman"/>
        </w:rPr>
        <w:t>units. At a rate of 25% of the total consumption just over 0.7Mt of aggregate was used for house building and the remainder (2.1Mt) used for infrastructure projects. This equates to approximately 195 tonnes of aggregate per housing unit.</w:t>
      </w:r>
    </w:p>
    <w:p w14:paraId="1E554DE6" w14:textId="77777777" w:rsidR="00793D69" w:rsidRPr="00793D69" w:rsidRDefault="00793D69" w:rsidP="00D73374">
      <w:pPr>
        <w:spacing w:after="240" w:line="276" w:lineRule="auto"/>
        <w:rPr>
          <w:rFonts w:ascii="Calibri" w:eastAsia="Calibri" w:hAnsi="Calibri" w:cs="Times New Roman"/>
        </w:rPr>
      </w:pPr>
      <w:r w:rsidRPr="00793D69">
        <w:rPr>
          <w:rFonts w:ascii="Calibri" w:eastAsia="Calibri" w:hAnsi="Calibri" w:cs="Times New Roman"/>
        </w:rPr>
        <w:t xml:space="preserve">In </w:t>
      </w:r>
      <w:r w:rsidRPr="00793D69">
        <w:rPr>
          <w:rFonts w:ascii="Calibri" w:eastAsia="Calibri" w:hAnsi="Calibri" w:cs="Times New Roman"/>
          <w:b/>
          <w:bCs/>
        </w:rPr>
        <w:t>2009</w:t>
      </w:r>
      <w:r w:rsidRPr="00793D69">
        <w:rPr>
          <w:rFonts w:ascii="Calibri" w:eastAsia="Calibri" w:hAnsi="Calibri" w:cs="Times New Roman"/>
        </w:rPr>
        <w:t xml:space="preserve">, West Yorkshire consumed </w:t>
      </w:r>
      <w:r w:rsidRPr="00793D69">
        <w:rPr>
          <w:rFonts w:ascii="Calibri" w:eastAsia="Calibri" w:hAnsi="Calibri" w:cs="Times New Roman"/>
          <w:b/>
          <w:bCs/>
        </w:rPr>
        <w:t>3.1Mt</w:t>
      </w:r>
      <w:r w:rsidRPr="00793D69">
        <w:rPr>
          <w:rFonts w:ascii="Calibri" w:eastAsia="Calibri" w:hAnsi="Calibri" w:cs="Times New Roman"/>
        </w:rPr>
        <w:t xml:space="preserve"> of combined aggregate and delivered </w:t>
      </w:r>
      <w:r w:rsidRPr="00793D69">
        <w:rPr>
          <w:rFonts w:ascii="Calibri" w:eastAsia="Calibri" w:hAnsi="Calibri" w:cs="Times New Roman"/>
          <w:b/>
          <w:bCs/>
        </w:rPr>
        <w:t>6,052</w:t>
      </w:r>
      <w:r w:rsidRPr="00793D69">
        <w:rPr>
          <w:rFonts w:ascii="Calibri" w:eastAsia="Calibri" w:hAnsi="Calibri" w:cs="Times New Roman"/>
        </w:rPr>
        <w:t xml:space="preserve"> homes. At a rate of 25% of the total consumption just over 0.8Mt of aggregate was used for house building and the remainder (2.4Mt) used for infrastructure projects. This equates to approximately 129 tonnes of aggregate per housing unit.</w:t>
      </w:r>
    </w:p>
    <w:p w14:paraId="499A26F4" w14:textId="77777777" w:rsidR="00793D69" w:rsidRPr="00793D69" w:rsidRDefault="00793D69" w:rsidP="00D73374">
      <w:pPr>
        <w:spacing w:after="240" w:line="276" w:lineRule="auto"/>
        <w:rPr>
          <w:rFonts w:ascii="Calibri" w:eastAsia="Calibri" w:hAnsi="Calibri" w:cs="Times New Roman"/>
        </w:rPr>
      </w:pPr>
      <w:r w:rsidRPr="00793D69">
        <w:rPr>
          <w:rFonts w:ascii="Calibri" w:eastAsia="Calibri" w:hAnsi="Calibri" w:cs="Times New Roman"/>
        </w:rPr>
        <w:lastRenderedPageBreak/>
        <w:t xml:space="preserve">In </w:t>
      </w:r>
      <w:r w:rsidRPr="00793D69">
        <w:rPr>
          <w:rFonts w:ascii="Calibri" w:eastAsia="Calibri" w:hAnsi="Calibri" w:cs="Times New Roman"/>
          <w:b/>
          <w:bCs/>
        </w:rPr>
        <w:t>2014</w:t>
      </w:r>
      <w:r w:rsidRPr="00793D69">
        <w:rPr>
          <w:rFonts w:ascii="Calibri" w:eastAsia="Calibri" w:hAnsi="Calibri" w:cs="Times New Roman"/>
        </w:rPr>
        <w:t xml:space="preserve"> national monitoring identifies South Yorkshire consumed </w:t>
      </w:r>
      <w:r w:rsidRPr="00793D69">
        <w:rPr>
          <w:rFonts w:ascii="Calibri" w:eastAsia="Calibri" w:hAnsi="Calibri" w:cs="Times New Roman"/>
          <w:b/>
          <w:bCs/>
        </w:rPr>
        <w:t>2.9Mt</w:t>
      </w:r>
      <w:r w:rsidRPr="00793D69">
        <w:rPr>
          <w:rFonts w:ascii="Calibri" w:eastAsia="Calibri" w:hAnsi="Calibri" w:cs="Times New Roman"/>
        </w:rPr>
        <w:t xml:space="preserve"> of combined aggregate and additional research shows </w:t>
      </w:r>
      <w:r w:rsidRPr="00793D69">
        <w:rPr>
          <w:rFonts w:ascii="Calibri" w:eastAsia="Calibri" w:hAnsi="Calibri" w:cs="Times New Roman"/>
          <w:b/>
          <w:bCs/>
        </w:rPr>
        <w:t>4,022</w:t>
      </w:r>
      <w:r w:rsidRPr="00793D69">
        <w:rPr>
          <w:rFonts w:ascii="Calibri" w:eastAsia="Calibri" w:hAnsi="Calibri" w:cs="Times New Roman"/>
        </w:rPr>
        <w:t xml:space="preserve"> housing completions. At a rate of 25% of the total consumption just over 0.7Mt of aggregate was used for house building and the remainder (2.1Mt) used for infrastructure projects. This equates to approximately 179 tonnes of aggregate per housing unit.</w:t>
      </w:r>
    </w:p>
    <w:p w14:paraId="39D53389" w14:textId="77777777" w:rsidR="00793D69" w:rsidRPr="00793D69" w:rsidRDefault="00793D69" w:rsidP="00D73374">
      <w:pPr>
        <w:spacing w:after="240" w:line="276" w:lineRule="auto"/>
        <w:rPr>
          <w:rFonts w:ascii="Calibri" w:eastAsia="Calibri" w:hAnsi="Calibri" w:cs="Times New Roman"/>
          <w:u w:val="single"/>
        </w:rPr>
      </w:pPr>
      <w:r w:rsidRPr="00793D69">
        <w:rPr>
          <w:rFonts w:ascii="Calibri" w:eastAsia="Calibri" w:hAnsi="Calibri" w:cs="Times New Roman"/>
        </w:rPr>
        <w:t xml:space="preserve">In </w:t>
      </w:r>
      <w:r w:rsidRPr="00793D69">
        <w:rPr>
          <w:rFonts w:ascii="Calibri" w:eastAsia="Calibri" w:hAnsi="Calibri" w:cs="Times New Roman"/>
          <w:b/>
          <w:bCs/>
        </w:rPr>
        <w:t>2014</w:t>
      </w:r>
      <w:r w:rsidRPr="00793D69">
        <w:rPr>
          <w:rFonts w:ascii="Calibri" w:eastAsia="Calibri" w:hAnsi="Calibri" w:cs="Times New Roman"/>
        </w:rPr>
        <w:t xml:space="preserve">, West Yorkshire consumed </w:t>
      </w:r>
      <w:r w:rsidRPr="00793D69">
        <w:rPr>
          <w:rFonts w:ascii="Calibri" w:eastAsia="Calibri" w:hAnsi="Calibri" w:cs="Times New Roman"/>
          <w:b/>
          <w:bCs/>
        </w:rPr>
        <w:t>3.1Mt</w:t>
      </w:r>
      <w:r w:rsidRPr="00793D69">
        <w:rPr>
          <w:rFonts w:ascii="Calibri" w:eastAsia="Calibri" w:hAnsi="Calibri" w:cs="Times New Roman"/>
        </w:rPr>
        <w:t xml:space="preserve"> of combined aggregate and delivered </w:t>
      </w:r>
      <w:r w:rsidRPr="00793D69">
        <w:rPr>
          <w:rFonts w:ascii="Calibri" w:eastAsia="Calibri" w:hAnsi="Calibri" w:cs="Times New Roman"/>
          <w:b/>
          <w:bCs/>
        </w:rPr>
        <w:t>6,270</w:t>
      </w:r>
      <w:r w:rsidRPr="00793D69">
        <w:rPr>
          <w:rFonts w:ascii="Calibri" w:eastAsia="Calibri" w:hAnsi="Calibri" w:cs="Times New Roman"/>
        </w:rPr>
        <w:t xml:space="preserve"> homes. At a rate of 25% of the total consumption just over 0.8Mt of aggregate was used for house building and the remainder (2.3Mt) used for infrastructure projects. This equates to approximately 121 tonnes of aggregate per housing unit.</w:t>
      </w:r>
    </w:p>
    <w:p w14:paraId="4326E0E4" w14:textId="77777777" w:rsidR="00793D69" w:rsidRPr="00793D69" w:rsidRDefault="00793D69" w:rsidP="00D73374">
      <w:pPr>
        <w:spacing w:after="240" w:line="276" w:lineRule="auto"/>
        <w:rPr>
          <w:rFonts w:ascii="Calibri" w:eastAsia="Calibri" w:hAnsi="Calibri" w:cs="Times New Roman"/>
        </w:rPr>
      </w:pPr>
      <w:r w:rsidRPr="00793D69">
        <w:rPr>
          <w:rFonts w:ascii="Calibri" w:eastAsia="Calibri" w:hAnsi="Calibri" w:cs="Times New Roman"/>
        </w:rPr>
        <w:t xml:space="preserve">In </w:t>
      </w:r>
      <w:r w:rsidRPr="00793D69">
        <w:rPr>
          <w:rFonts w:ascii="Calibri" w:eastAsia="Calibri" w:hAnsi="Calibri" w:cs="Times New Roman"/>
          <w:b/>
          <w:bCs/>
        </w:rPr>
        <w:t>2019</w:t>
      </w:r>
      <w:r w:rsidRPr="00793D69">
        <w:rPr>
          <w:rFonts w:ascii="Calibri" w:eastAsia="Calibri" w:hAnsi="Calibri" w:cs="Times New Roman"/>
        </w:rPr>
        <w:t xml:space="preserve"> national monitoring identifies South Yorkshire consumed </w:t>
      </w:r>
      <w:r w:rsidRPr="00793D69">
        <w:rPr>
          <w:rFonts w:ascii="Calibri" w:eastAsia="Calibri" w:hAnsi="Calibri" w:cs="Times New Roman"/>
          <w:b/>
          <w:bCs/>
        </w:rPr>
        <w:t>3.3Mt</w:t>
      </w:r>
      <w:r w:rsidRPr="00793D69">
        <w:rPr>
          <w:rFonts w:ascii="Calibri" w:eastAsia="Calibri" w:hAnsi="Calibri" w:cs="Times New Roman"/>
        </w:rPr>
        <w:t xml:space="preserve"> of combined aggregate and housing completions totalled </w:t>
      </w:r>
      <w:r w:rsidRPr="00793D69">
        <w:rPr>
          <w:rFonts w:ascii="Calibri" w:eastAsia="Calibri" w:hAnsi="Calibri" w:cs="Times New Roman"/>
          <w:b/>
          <w:bCs/>
        </w:rPr>
        <w:t xml:space="preserve">5,345 </w:t>
      </w:r>
      <w:r w:rsidRPr="00793D69">
        <w:rPr>
          <w:rFonts w:ascii="Calibri" w:eastAsia="Calibri" w:hAnsi="Calibri" w:cs="Times New Roman"/>
        </w:rPr>
        <w:t>dwellings (gross). At a rate of 25% of the total consumption just over 0.8Mt of aggregate was used for house building and the remainder (2.5Mt) used for infrastructure projects. This equates to approximately 155 tonnes of aggregate per housing unit.</w:t>
      </w:r>
    </w:p>
    <w:p w14:paraId="032BC0A0" w14:textId="63D45D4A" w:rsidR="00793D69" w:rsidRPr="00793D69" w:rsidRDefault="00793D69" w:rsidP="00D73374">
      <w:pPr>
        <w:spacing w:after="240" w:line="276" w:lineRule="auto"/>
        <w:rPr>
          <w:rFonts w:ascii="Calibri" w:eastAsia="Calibri" w:hAnsi="Calibri" w:cs="Times New Roman"/>
          <w:u w:val="single"/>
        </w:rPr>
      </w:pPr>
      <w:r w:rsidRPr="00793D69">
        <w:rPr>
          <w:rFonts w:ascii="Calibri" w:eastAsia="Calibri" w:hAnsi="Calibri" w:cs="Times New Roman"/>
        </w:rPr>
        <w:t xml:space="preserve">In </w:t>
      </w:r>
      <w:r w:rsidRPr="00793D69">
        <w:rPr>
          <w:rFonts w:ascii="Calibri" w:eastAsia="Calibri" w:hAnsi="Calibri" w:cs="Times New Roman"/>
          <w:b/>
          <w:bCs/>
        </w:rPr>
        <w:t>2019</w:t>
      </w:r>
      <w:r w:rsidRPr="00793D69">
        <w:rPr>
          <w:rFonts w:ascii="Calibri" w:eastAsia="Calibri" w:hAnsi="Calibri" w:cs="Times New Roman"/>
        </w:rPr>
        <w:t xml:space="preserve">, West Yorkshire consumed </w:t>
      </w:r>
      <w:r w:rsidRPr="00793D69">
        <w:rPr>
          <w:rFonts w:ascii="Calibri" w:eastAsia="Calibri" w:hAnsi="Calibri" w:cs="Times New Roman"/>
          <w:b/>
          <w:bCs/>
        </w:rPr>
        <w:t>2.8Mt</w:t>
      </w:r>
      <w:r w:rsidRPr="00793D69">
        <w:rPr>
          <w:rFonts w:ascii="Calibri" w:eastAsia="Calibri" w:hAnsi="Calibri" w:cs="Times New Roman"/>
        </w:rPr>
        <w:t xml:space="preserve"> of combined aggregate and delivered </w:t>
      </w:r>
      <w:r w:rsidRPr="00793D69">
        <w:rPr>
          <w:rFonts w:ascii="Calibri" w:eastAsia="Calibri" w:hAnsi="Calibri" w:cs="Times New Roman"/>
          <w:b/>
          <w:bCs/>
        </w:rPr>
        <w:t>9,</w:t>
      </w:r>
      <w:r w:rsidR="00C94E0F">
        <w:rPr>
          <w:rFonts w:ascii="Calibri" w:eastAsia="Calibri" w:hAnsi="Calibri" w:cs="Times New Roman"/>
          <w:b/>
          <w:bCs/>
        </w:rPr>
        <w:t>074</w:t>
      </w:r>
      <w:r w:rsidRPr="00793D69">
        <w:rPr>
          <w:rFonts w:ascii="Calibri" w:eastAsia="Calibri" w:hAnsi="Calibri" w:cs="Times New Roman"/>
        </w:rPr>
        <w:t xml:space="preserve"> dwellings. At a rate of 25% of the total consumption just over 0.7Mt of aggregate was used for house building and the remainder (2.1Mt) used for infrastructure projects</w:t>
      </w:r>
      <w:r w:rsidR="002B0548">
        <w:rPr>
          <w:rFonts w:ascii="Calibri" w:eastAsia="Calibri" w:hAnsi="Calibri" w:cs="Times New Roman"/>
        </w:rPr>
        <w:t xml:space="preserve"> within the region</w:t>
      </w:r>
      <w:r w:rsidRPr="00793D69">
        <w:rPr>
          <w:rFonts w:ascii="Calibri" w:eastAsia="Calibri" w:hAnsi="Calibri" w:cs="Times New Roman"/>
        </w:rPr>
        <w:t>. This equates to approximately 80 tonnes of aggregate per housing unit.</w:t>
      </w:r>
    </w:p>
    <w:p w14:paraId="408961C3" w14:textId="77777777" w:rsidR="00793D69" w:rsidRPr="00793D69" w:rsidRDefault="00793D69" w:rsidP="00D73374">
      <w:pPr>
        <w:spacing w:after="240" w:line="276" w:lineRule="auto"/>
        <w:rPr>
          <w:rFonts w:ascii="Calibri" w:eastAsia="Calibri" w:hAnsi="Calibri" w:cs="Times New Roman"/>
          <w:b/>
          <w:bCs/>
        </w:rPr>
      </w:pPr>
      <w:r w:rsidRPr="00793D69">
        <w:rPr>
          <w:rFonts w:ascii="Calibri" w:eastAsia="Calibri" w:hAnsi="Calibri" w:cs="Times New Roman"/>
          <w:b/>
          <w:bCs/>
        </w:rPr>
        <w:t>Conclusion:</w:t>
      </w:r>
    </w:p>
    <w:p w14:paraId="7178530D" w14:textId="79F5D542" w:rsidR="00793D69" w:rsidRPr="00793D69" w:rsidRDefault="00793D69" w:rsidP="00D73374">
      <w:pPr>
        <w:spacing w:after="240" w:line="276" w:lineRule="auto"/>
        <w:rPr>
          <w:rFonts w:ascii="Calibri" w:eastAsia="Calibri" w:hAnsi="Calibri" w:cs="Times New Roman"/>
          <w:b/>
          <w:bCs/>
        </w:rPr>
      </w:pPr>
      <w:r w:rsidRPr="00793D69">
        <w:rPr>
          <w:rFonts w:ascii="Calibri" w:eastAsia="Calibri" w:hAnsi="Calibri" w:cs="Times New Roman"/>
        </w:rPr>
        <w:t>For South Yorkshire the current combined Local Plan annual housing requirement is 5,052</w:t>
      </w:r>
      <w:r w:rsidRPr="00793D69">
        <w:rPr>
          <w:rFonts w:ascii="Calibri" w:eastAsia="Calibri" w:hAnsi="Calibri" w:cs="Times New Roman"/>
          <w:vertAlign w:val="superscript"/>
        </w:rPr>
        <w:footnoteReference w:id="24"/>
      </w:r>
      <w:r w:rsidRPr="00793D69">
        <w:rPr>
          <w:rFonts w:ascii="Calibri" w:eastAsia="Calibri" w:hAnsi="Calibri" w:cs="Times New Roman"/>
        </w:rPr>
        <w:t xml:space="preserve"> units annually. This is made up of 920 units for Doncaster, 958 units for Rotherham, 2,040 units for Sheffield and 1,134 units for Barnsley. Using the information above to estimate future supply suggests that approximately 0.9Mt of aggregate will be required annually to deliver the Local Plan housing requirements.  </w:t>
      </w:r>
      <w:r w:rsidRPr="009A3928">
        <w:rPr>
          <w:rFonts w:ascii="Calibri" w:eastAsia="Calibri" w:hAnsi="Calibri" w:cs="Times New Roman"/>
          <w:b/>
          <w:bCs/>
        </w:rPr>
        <w:t xml:space="preserve">Total </w:t>
      </w:r>
      <w:r w:rsidR="00A907AC" w:rsidRPr="009A3928">
        <w:rPr>
          <w:rFonts w:ascii="Calibri" w:eastAsia="Calibri" w:hAnsi="Calibri" w:cs="Times New Roman"/>
          <w:b/>
          <w:bCs/>
        </w:rPr>
        <w:t xml:space="preserve">annual </w:t>
      </w:r>
      <w:r w:rsidRPr="009A3928">
        <w:rPr>
          <w:rFonts w:ascii="Calibri" w:eastAsia="Calibri" w:hAnsi="Calibri" w:cs="Times New Roman"/>
          <w:b/>
          <w:bCs/>
        </w:rPr>
        <w:t>consumption could therefore be in the region of 2.7Mt for infrastructure related projects and 0.9Mt for housing projects totalling a</w:t>
      </w:r>
      <w:r w:rsidR="00A907AC" w:rsidRPr="009A3928">
        <w:rPr>
          <w:rFonts w:ascii="Calibri" w:eastAsia="Calibri" w:hAnsi="Calibri" w:cs="Times New Roman"/>
          <w:b/>
          <w:bCs/>
        </w:rPr>
        <w:t xml:space="preserve"> yearly</w:t>
      </w:r>
      <w:r w:rsidRPr="009A3928">
        <w:rPr>
          <w:rFonts w:ascii="Calibri" w:eastAsia="Calibri" w:hAnsi="Calibri" w:cs="Times New Roman"/>
          <w:b/>
          <w:bCs/>
        </w:rPr>
        <w:t xml:space="preserve"> need in the region of 3.6Mt for South Yorkshire as a whole.</w:t>
      </w:r>
    </w:p>
    <w:p w14:paraId="30170911" w14:textId="5DBA8D9B" w:rsidR="00793D69" w:rsidRPr="00793D69" w:rsidRDefault="00793D69" w:rsidP="00D73374">
      <w:pPr>
        <w:spacing w:after="240" w:line="276" w:lineRule="auto"/>
        <w:rPr>
          <w:rFonts w:ascii="Calibri" w:eastAsia="Calibri" w:hAnsi="Calibri" w:cs="Times New Roman"/>
        </w:rPr>
      </w:pPr>
      <w:r w:rsidRPr="00793D69">
        <w:rPr>
          <w:rFonts w:ascii="Calibri" w:eastAsia="Calibri" w:hAnsi="Calibri" w:cs="Times New Roman"/>
        </w:rPr>
        <w:t xml:space="preserve">For West Yorkshire the current combined Local Plan housing requirement is 9,228 units a year. This is made up of 1,400 units for Wakefield, 3,397 units for Leeds, 1,704 units for Bradford, 1,730 units for Kirklees and 997 units for Calderdale. Using the information above to estimate future supply suggests that approximately 1Mt of aggregate will be required annually to deliver the Local Plan housing requirements.  </w:t>
      </w:r>
      <w:r w:rsidRPr="009A3928">
        <w:rPr>
          <w:rFonts w:ascii="Calibri" w:eastAsia="Calibri" w:hAnsi="Calibri" w:cs="Times New Roman"/>
          <w:b/>
          <w:bCs/>
        </w:rPr>
        <w:t xml:space="preserve">Total </w:t>
      </w:r>
      <w:r w:rsidR="00A907AC" w:rsidRPr="009A3928">
        <w:rPr>
          <w:rFonts w:ascii="Calibri" w:eastAsia="Calibri" w:hAnsi="Calibri" w:cs="Times New Roman"/>
          <w:b/>
          <w:bCs/>
        </w:rPr>
        <w:t xml:space="preserve">annual </w:t>
      </w:r>
      <w:r w:rsidRPr="009A3928">
        <w:rPr>
          <w:rFonts w:ascii="Calibri" w:eastAsia="Calibri" w:hAnsi="Calibri" w:cs="Times New Roman"/>
          <w:b/>
          <w:bCs/>
        </w:rPr>
        <w:t>consumption for West Yorkshire could therefore be in the region of 3Mt for infrastructure related projects and 1Mt for housing projects totalling a</w:t>
      </w:r>
      <w:r w:rsidR="00A907AC" w:rsidRPr="009A3928">
        <w:rPr>
          <w:rFonts w:ascii="Calibri" w:eastAsia="Calibri" w:hAnsi="Calibri" w:cs="Times New Roman"/>
          <w:b/>
          <w:bCs/>
        </w:rPr>
        <w:t xml:space="preserve"> yearly</w:t>
      </w:r>
      <w:r w:rsidRPr="009A3928">
        <w:rPr>
          <w:rFonts w:ascii="Calibri" w:eastAsia="Calibri" w:hAnsi="Calibri" w:cs="Times New Roman"/>
          <w:b/>
          <w:bCs/>
        </w:rPr>
        <w:t xml:space="preserve"> need in the region of 4Mt for </w:t>
      </w:r>
      <w:r w:rsidR="00320DAA" w:rsidRPr="009A3928">
        <w:rPr>
          <w:rFonts w:ascii="Calibri" w:eastAsia="Calibri" w:hAnsi="Calibri" w:cs="Times New Roman"/>
          <w:b/>
          <w:bCs/>
        </w:rPr>
        <w:t>West</w:t>
      </w:r>
      <w:r w:rsidRPr="009A3928">
        <w:rPr>
          <w:rFonts w:ascii="Calibri" w:eastAsia="Calibri" w:hAnsi="Calibri" w:cs="Times New Roman"/>
          <w:b/>
          <w:bCs/>
        </w:rPr>
        <w:t xml:space="preserve"> Yorkshire as a whole.</w:t>
      </w:r>
      <w:r w:rsidRPr="00793D69">
        <w:rPr>
          <w:rFonts w:ascii="Calibri" w:eastAsia="Calibri" w:hAnsi="Calibri" w:cs="Times New Roman"/>
        </w:rPr>
        <w:t xml:space="preserve"> </w:t>
      </w:r>
    </w:p>
    <w:p w14:paraId="268D1FA7" w14:textId="77777777" w:rsidR="00B22C5A" w:rsidRDefault="00793D69" w:rsidP="00D73374">
      <w:pPr>
        <w:spacing w:after="240" w:line="276" w:lineRule="auto"/>
        <w:rPr>
          <w:rFonts w:ascii="Calibri" w:eastAsia="Calibri" w:hAnsi="Calibri" w:cs="Times New Roman"/>
        </w:rPr>
      </w:pPr>
      <w:r w:rsidRPr="00793D69">
        <w:rPr>
          <w:rFonts w:ascii="Calibri" w:eastAsia="Calibri" w:hAnsi="Calibri" w:cs="Times New Roman"/>
        </w:rPr>
        <w:lastRenderedPageBreak/>
        <w:t>In the simplest of terms, the demand for aggregate mirrors the increased trends to grow the economy and society, even if done with sustainability in mind. Building new homes, infrastructure projects, schools, hospitals, and climate adaption projects such as flood defences and solar farms increases pressure on aggregate consumption.</w:t>
      </w:r>
    </w:p>
    <w:p w14:paraId="33118F4D" w14:textId="76228D21" w:rsidR="00793D69" w:rsidRPr="00793D69" w:rsidRDefault="00793D69" w:rsidP="00D73374">
      <w:pPr>
        <w:spacing w:after="240" w:line="276" w:lineRule="auto"/>
        <w:rPr>
          <w:rFonts w:ascii="Calibri" w:eastAsia="Calibri" w:hAnsi="Calibri" w:cs="Times New Roman"/>
          <w:u w:val="single"/>
        </w:rPr>
      </w:pPr>
      <w:r w:rsidRPr="00793D69">
        <w:rPr>
          <w:rFonts w:ascii="Calibri" w:eastAsia="Calibri" w:hAnsi="Calibri" w:cs="Times New Roman"/>
          <w:u w:val="single"/>
        </w:rPr>
        <w:tab/>
      </w:r>
      <w:r w:rsidRPr="00793D69">
        <w:rPr>
          <w:rFonts w:ascii="Calibri" w:eastAsia="Calibri" w:hAnsi="Calibri" w:cs="Times New Roman"/>
          <w:u w:val="single"/>
        </w:rPr>
        <w:tab/>
      </w:r>
      <w:r w:rsidRPr="00793D69">
        <w:rPr>
          <w:rFonts w:ascii="Calibri" w:eastAsia="Calibri" w:hAnsi="Calibri" w:cs="Times New Roman"/>
          <w:u w:val="single"/>
        </w:rPr>
        <w:tab/>
      </w:r>
    </w:p>
    <w:p w14:paraId="43B33B8A" w14:textId="570CAA87" w:rsidR="00793D69" w:rsidRPr="00793D69" w:rsidRDefault="00793D69" w:rsidP="00D73374">
      <w:pPr>
        <w:spacing w:before="240" w:line="276" w:lineRule="auto"/>
        <w:rPr>
          <w:rFonts w:ascii="Calibri" w:eastAsia="Calibri" w:hAnsi="Calibri" w:cs="Times New Roman"/>
          <w:b/>
          <w:bCs/>
        </w:rPr>
      </w:pPr>
      <w:r w:rsidRPr="00793D69">
        <w:rPr>
          <w:rFonts w:ascii="Calibri" w:eastAsia="Calibri" w:hAnsi="Calibri" w:cs="Times New Roman"/>
          <w:b/>
          <w:bCs/>
        </w:rPr>
        <w:t>References.</w:t>
      </w:r>
    </w:p>
    <w:p w14:paraId="4DFFEA4F"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Forecasting Demand for Aggregates – Local Plan Evidence Base Document (June 2019).</w:t>
      </w:r>
    </w:p>
    <w:p w14:paraId="6DCCB5FC"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The Need for Indigenous Aggregate Production in England – BGS Open Report (OR/08/026).</w:t>
      </w:r>
    </w:p>
    <w:p w14:paraId="616E63DB"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South Yorkshire Mayoral Combined Authority Statement of Common Ground.</w:t>
      </w:r>
    </w:p>
    <w:p w14:paraId="62F9A432" w14:textId="4E2D3919"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 xml:space="preserve">West Yorkshire Local Aggregates Assessment </w:t>
      </w:r>
      <w:r w:rsidR="000A6367">
        <w:rPr>
          <w:rFonts w:ascii="Calibri" w:eastAsia="Calibri" w:hAnsi="Calibri" w:cs="Times New Roman"/>
        </w:rPr>
        <w:t>202*</w:t>
      </w:r>
      <w:r w:rsidRPr="00793D69">
        <w:rPr>
          <w:rFonts w:ascii="Calibri" w:eastAsia="Calibri" w:hAnsi="Calibri" w:cs="Times New Roman"/>
        </w:rPr>
        <w:t>.</w:t>
      </w:r>
    </w:p>
    <w:p w14:paraId="1E1CF1A0"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 xml:space="preserve">Bradford </w:t>
      </w:r>
      <w:hyperlink r:id="rId29" w:history="1">
        <w:r w:rsidRPr="00793D69">
          <w:rPr>
            <w:rFonts w:ascii="Calibri" w:eastAsia="Calibri" w:hAnsi="Calibri" w:cs="Times New Roman"/>
            <w:color w:val="0563C1"/>
            <w:u w:val="single"/>
          </w:rPr>
          <w:t>Local Plan Authorities Monitoring Report 2019-2021 (4 Mb)</w:t>
        </w:r>
      </w:hyperlink>
      <w:r w:rsidRPr="00793D69">
        <w:rPr>
          <w:rFonts w:ascii="Calibri" w:eastAsia="Calibri" w:hAnsi="Calibri" w:cs="Times New Roman"/>
        </w:rPr>
        <w:t xml:space="preserve"> (Table 5.5).</w:t>
      </w:r>
    </w:p>
    <w:p w14:paraId="576E4A56"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 xml:space="preserve">Leeds </w:t>
      </w:r>
      <w:hyperlink r:id="rId30" w:history="1">
        <w:r w:rsidRPr="00793D69">
          <w:rPr>
            <w:rFonts w:ascii="Calibri" w:eastAsia="Calibri" w:hAnsi="Calibri" w:cs="Times New Roman"/>
            <w:color w:val="0563C1"/>
            <w:u w:val="single"/>
          </w:rPr>
          <w:t>Annual Monitoring Report 2019-21(PDF 2.13MB)</w:t>
        </w:r>
      </w:hyperlink>
      <w:r w:rsidRPr="00793D69">
        <w:rPr>
          <w:rFonts w:ascii="Calibri" w:eastAsia="Calibri" w:hAnsi="Calibri" w:cs="Times New Roman"/>
        </w:rPr>
        <w:t xml:space="preserve"> (Table 22).</w:t>
      </w:r>
    </w:p>
    <w:p w14:paraId="3D269C76"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 xml:space="preserve">Kirklees </w:t>
      </w:r>
      <w:hyperlink r:id="rId31" w:history="1">
        <w:r w:rsidRPr="00793D69">
          <w:rPr>
            <w:rFonts w:ascii="Calibri" w:eastAsia="Calibri" w:hAnsi="Calibri" w:cs="Times New Roman"/>
            <w:color w:val="0563C1"/>
            <w:u w:val="single"/>
          </w:rPr>
          <w:t>Annual Monitoring Reports</w:t>
        </w:r>
      </w:hyperlink>
      <w:r w:rsidRPr="00793D69">
        <w:rPr>
          <w:rFonts w:ascii="Calibri" w:eastAsia="Calibri" w:hAnsi="Calibri" w:cs="Times New Roman"/>
        </w:rPr>
        <w:t xml:space="preserve">  Table 11 (2018/19) and Table 15 (2019/20).</w:t>
      </w:r>
    </w:p>
    <w:p w14:paraId="62A47B30" w14:textId="20115413" w:rsidR="00793D69" w:rsidRPr="00793D69" w:rsidRDefault="00A907AC" w:rsidP="00D73374">
      <w:pPr>
        <w:spacing w:line="276" w:lineRule="auto"/>
        <w:rPr>
          <w:rFonts w:ascii="Calibri" w:eastAsia="Calibri" w:hAnsi="Calibri" w:cs="Times New Roman"/>
        </w:rPr>
      </w:pPr>
      <w:r>
        <w:rPr>
          <w:rFonts w:ascii="Calibri" w:eastAsia="Calibri" w:hAnsi="Calibri" w:cs="Times New Roman"/>
        </w:rPr>
        <w:t>E</w:t>
      </w:r>
      <w:r w:rsidR="005D6D98">
        <w:rPr>
          <w:rFonts w:ascii="Calibri" w:eastAsia="Calibri" w:hAnsi="Calibri" w:cs="Times New Roman"/>
        </w:rPr>
        <w:t xml:space="preserve">mail responses direct from participating authorities. </w:t>
      </w:r>
    </w:p>
    <w:p w14:paraId="5B16C7EA" w14:textId="77777777" w:rsidR="00793D69" w:rsidRPr="00793D69" w:rsidRDefault="00793D69" w:rsidP="00D73374">
      <w:pPr>
        <w:spacing w:line="276" w:lineRule="auto"/>
        <w:rPr>
          <w:rFonts w:ascii="Calibri" w:eastAsia="Calibri" w:hAnsi="Calibri" w:cs="Times New Roman"/>
        </w:rPr>
      </w:pPr>
    </w:p>
    <w:p w14:paraId="14002FEE" w14:textId="77777777" w:rsidR="00793D69" w:rsidRPr="00793D69" w:rsidRDefault="00793D69" w:rsidP="00D73374">
      <w:pPr>
        <w:spacing w:after="160" w:line="276" w:lineRule="auto"/>
        <w:rPr>
          <w:rFonts w:ascii="Calibri" w:eastAsia="Calibri" w:hAnsi="Calibri" w:cs="Times New Roman"/>
        </w:rPr>
      </w:pPr>
      <w:r w:rsidRPr="00793D69">
        <w:rPr>
          <w:rFonts w:ascii="Calibri" w:eastAsia="Calibri" w:hAnsi="Calibri" w:cs="Times New Roman"/>
        </w:rPr>
        <w:br w:type="page"/>
      </w:r>
    </w:p>
    <w:p w14:paraId="663B81B8" w14:textId="77777777" w:rsidR="00793D69" w:rsidRPr="00793D69" w:rsidRDefault="00793D69" w:rsidP="00D73374">
      <w:pPr>
        <w:spacing w:line="276" w:lineRule="auto"/>
        <w:rPr>
          <w:rFonts w:ascii="Calibri" w:eastAsia="Calibri" w:hAnsi="Calibri" w:cs="Times New Roman"/>
        </w:rPr>
        <w:sectPr w:rsidR="00793D69" w:rsidRPr="00793D69" w:rsidSect="00155F04">
          <w:pgSz w:w="16838" w:h="11906" w:orient="landscape" w:code="9"/>
          <w:pgMar w:top="1440" w:right="1276" w:bottom="1440" w:left="1134" w:header="709" w:footer="709" w:gutter="0"/>
          <w:cols w:space="708"/>
          <w:docGrid w:linePitch="360"/>
        </w:sectPr>
      </w:pPr>
    </w:p>
    <w:p w14:paraId="13EC5BE5" w14:textId="77777777" w:rsidR="00793D69" w:rsidRPr="00793D69" w:rsidRDefault="00793D69" w:rsidP="00D73374">
      <w:pPr>
        <w:spacing w:line="276" w:lineRule="auto"/>
        <w:rPr>
          <w:rFonts w:ascii="Calibri" w:eastAsia="Calibri" w:hAnsi="Calibri" w:cs="Times New Roman"/>
          <w:b/>
          <w:bCs/>
        </w:rPr>
      </w:pPr>
      <w:r w:rsidRPr="00793D69">
        <w:rPr>
          <w:rFonts w:ascii="Calibri" w:eastAsia="Calibri" w:hAnsi="Calibri" w:cs="Times New Roman"/>
          <w:b/>
          <w:bCs/>
        </w:rPr>
        <w:lastRenderedPageBreak/>
        <w:t xml:space="preserve">Table </w:t>
      </w:r>
      <w:proofErr w:type="spellStart"/>
      <w:r w:rsidRPr="00793D69">
        <w:rPr>
          <w:rFonts w:ascii="Calibri" w:eastAsia="Calibri" w:hAnsi="Calibri" w:cs="Times New Roman"/>
          <w:b/>
          <w:bCs/>
        </w:rPr>
        <w:t>i</w:t>
      </w:r>
      <w:proofErr w:type="spellEnd"/>
      <w:r w:rsidRPr="00793D69">
        <w:rPr>
          <w:rFonts w:ascii="Calibri" w:eastAsia="Calibri" w:hAnsi="Calibri" w:cs="Times New Roman"/>
          <w:b/>
          <w:bCs/>
        </w:rPr>
        <w:t>. Housing projections South and West Yorkshire</w:t>
      </w:r>
    </w:p>
    <w:tbl>
      <w:tblPr>
        <w:tblStyle w:val="TableGrid"/>
        <w:tblW w:w="5000" w:type="pct"/>
        <w:tblLook w:val="04A0" w:firstRow="1" w:lastRow="0" w:firstColumn="1" w:lastColumn="0" w:noHBand="0" w:noVBand="1"/>
        <w:tblCaption w:val="Table of housing projections for South and West Yorkshire"/>
        <w:tblDescription w:val="Table of housing projections for South and West Yorkshire"/>
      </w:tblPr>
      <w:tblGrid>
        <w:gridCol w:w="2364"/>
        <w:gridCol w:w="2391"/>
        <w:gridCol w:w="2379"/>
        <w:gridCol w:w="2535"/>
        <w:gridCol w:w="2376"/>
        <w:gridCol w:w="2373"/>
      </w:tblGrid>
      <w:tr w:rsidR="00793D69" w:rsidRPr="00793D69" w14:paraId="4976BBB9" w14:textId="77777777" w:rsidTr="00793D69">
        <w:tc>
          <w:tcPr>
            <w:tcW w:w="820" w:type="pct"/>
            <w:shd w:val="clear" w:color="auto" w:fill="E2EFD9"/>
          </w:tcPr>
          <w:p w14:paraId="6D8E10D1" w14:textId="77777777" w:rsidR="00793D69" w:rsidRPr="00793D69" w:rsidRDefault="00793D69" w:rsidP="00D73374">
            <w:pPr>
              <w:spacing w:line="276" w:lineRule="auto"/>
              <w:rPr>
                <w:rFonts w:ascii="Calibri" w:eastAsia="Calibri" w:hAnsi="Calibri" w:cs="Times New Roman"/>
                <w:b/>
                <w:bCs/>
              </w:rPr>
            </w:pPr>
            <w:r w:rsidRPr="00793D69">
              <w:rPr>
                <w:rFonts w:ascii="Calibri" w:eastAsia="Calibri" w:hAnsi="Calibri" w:cs="Times New Roman"/>
                <w:b/>
                <w:bCs/>
              </w:rPr>
              <w:t xml:space="preserve">Area </w:t>
            </w:r>
          </w:p>
        </w:tc>
        <w:tc>
          <w:tcPr>
            <w:tcW w:w="829" w:type="pct"/>
            <w:shd w:val="clear" w:color="auto" w:fill="E2EFD9"/>
          </w:tcPr>
          <w:p w14:paraId="7E281DB4" w14:textId="77777777" w:rsidR="00793D69" w:rsidRPr="00793D69" w:rsidRDefault="00793D69" w:rsidP="00D73374">
            <w:pPr>
              <w:spacing w:line="276" w:lineRule="auto"/>
              <w:rPr>
                <w:rFonts w:ascii="Calibri" w:eastAsia="Calibri" w:hAnsi="Calibri" w:cs="Times New Roman"/>
                <w:b/>
                <w:bCs/>
              </w:rPr>
            </w:pPr>
            <w:r w:rsidRPr="00793D69">
              <w:rPr>
                <w:rFonts w:ascii="Calibri" w:eastAsia="Calibri" w:hAnsi="Calibri" w:cs="Times New Roman"/>
                <w:b/>
                <w:bCs/>
              </w:rPr>
              <w:t>Local Plan Total</w:t>
            </w:r>
          </w:p>
          <w:p w14:paraId="6408854A" w14:textId="77777777" w:rsidR="00793D69" w:rsidRPr="00793D69" w:rsidRDefault="00793D69" w:rsidP="00D73374">
            <w:pPr>
              <w:spacing w:line="276" w:lineRule="auto"/>
              <w:rPr>
                <w:rFonts w:ascii="Calibri" w:eastAsia="Calibri" w:hAnsi="Calibri" w:cs="Times New Roman"/>
                <w:b/>
                <w:bCs/>
              </w:rPr>
            </w:pPr>
            <w:r w:rsidRPr="00793D69">
              <w:rPr>
                <w:rFonts w:ascii="Calibri" w:eastAsia="Calibri" w:hAnsi="Calibri" w:cs="Times New Roman"/>
                <w:b/>
                <w:bCs/>
              </w:rPr>
              <w:t>Projected no.</w:t>
            </w:r>
          </w:p>
        </w:tc>
        <w:tc>
          <w:tcPr>
            <w:tcW w:w="825" w:type="pct"/>
            <w:shd w:val="clear" w:color="auto" w:fill="E2EFD9"/>
          </w:tcPr>
          <w:p w14:paraId="35EE4E50" w14:textId="77777777" w:rsidR="00793D69" w:rsidRPr="00793D69" w:rsidRDefault="00793D69" w:rsidP="00D73374">
            <w:pPr>
              <w:spacing w:line="276" w:lineRule="auto"/>
              <w:rPr>
                <w:rFonts w:ascii="Calibri" w:eastAsia="Calibri" w:hAnsi="Calibri" w:cs="Times New Roman"/>
                <w:b/>
                <w:bCs/>
              </w:rPr>
            </w:pPr>
            <w:r w:rsidRPr="00793D69">
              <w:rPr>
                <w:rFonts w:ascii="Calibri" w:eastAsia="Calibri" w:hAnsi="Calibri" w:cs="Times New Roman"/>
                <w:b/>
                <w:bCs/>
              </w:rPr>
              <w:t>Local Plan Annual requirement</w:t>
            </w:r>
          </w:p>
        </w:tc>
        <w:tc>
          <w:tcPr>
            <w:tcW w:w="879" w:type="pct"/>
            <w:shd w:val="clear" w:color="auto" w:fill="E2EFD9"/>
          </w:tcPr>
          <w:p w14:paraId="123F1228" w14:textId="77777777" w:rsidR="00793D69" w:rsidRPr="00793D69" w:rsidRDefault="00793D69" w:rsidP="00D73374">
            <w:pPr>
              <w:spacing w:line="276" w:lineRule="auto"/>
              <w:rPr>
                <w:rFonts w:ascii="Calibri" w:eastAsia="Calibri" w:hAnsi="Calibri" w:cs="Times New Roman"/>
                <w:b/>
                <w:bCs/>
              </w:rPr>
            </w:pPr>
            <w:r w:rsidRPr="00793D69">
              <w:rPr>
                <w:rFonts w:ascii="Calibri" w:eastAsia="Calibri" w:hAnsi="Calibri" w:cs="Times New Roman"/>
                <w:b/>
                <w:bCs/>
              </w:rPr>
              <w:t>Local Plan Timeframe</w:t>
            </w:r>
          </w:p>
        </w:tc>
        <w:tc>
          <w:tcPr>
            <w:tcW w:w="824" w:type="pct"/>
            <w:shd w:val="clear" w:color="auto" w:fill="E2EFD9"/>
          </w:tcPr>
          <w:p w14:paraId="18A839C3" w14:textId="77777777" w:rsidR="00793D69" w:rsidRPr="00793D69" w:rsidRDefault="00793D69" w:rsidP="00D73374">
            <w:pPr>
              <w:spacing w:line="276" w:lineRule="auto"/>
              <w:rPr>
                <w:rFonts w:ascii="Calibri" w:eastAsia="Calibri" w:hAnsi="Calibri" w:cs="Times New Roman"/>
                <w:b/>
                <w:bCs/>
              </w:rPr>
            </w:pPr>
            <w:r w:rsidRPr="00793D69">
              <w:rPr>
                <w:rFonts w:ascii="Calibri" w:eastAsia="Calibri" w:hAnsi="Calibri" w:cs="Times New Roman"/>
                <w:b/>
                <w:bCs/>
              </w:rPr>
              <w:t>Source</w:t>
            </w:r>
          </w:p>
        </w:tc>
        <w:tc>
          <w:tcPr>
            <w:tcW w:w="823" w:type="pct"/>
            <w:shd w:val="clear" w:color="auto" w:fill="E2EFD9"/>
          </w:tcPr>
          <w:p w14:paraId="08BCAE48" w14:textId="77777777" w:rsidR="00793D69" w:rsidRPr="00793D69" w:rsidRDefault="00793D69" w:rsidP="00D73374">
            <w:pPr>
              <w:spacing w:line="276" w:lineRule="auto"/>
              <w:rPr>
                <w:rFonts w:ascii="Calibri" w:eastAsia="Calibri" w:hAnsi="Calibri" w:cs="Times New Roman"/>
                <w:b/>
                <w:bCs/>
              </w:rPr>
            </w:pPr>
            <w:r w:rsidRPr="00793D69">
              <w:rPr>
                <w:rFonts w:ascii="Calibri" w:eastAsia="Calibri" w:hAnsi="Calibri" w:cs="Times New Roman"/>
                <w:b/>
                <w:bCs/>
              </w:rPr>
              <w:t>Notes</w:t>
            </w:r>
          </w:p>
        </w:tc>
      </w:tr>
      <w:tr w:rsidR="00793D69" w:rsidRPr="00793D69" w14:paraId="7659B2C2" w14:textId="77777777" w:rsidTr="00793D69">
        <w:tc>
          <w:tcPr>
            <w:tcW w:w="820" w:type="pct"/>
            <w:shd w:val="clear" w:color="auto" w:fill="D9D9D9"/>
          </w:tcPr>
          <w:p w14:paraId="6B0C918E"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South Yorkshire</w:t>
            </w:r>
          </w:p>
        </w:tc>
        <w:tc>
          <w:tcPr>
            <w:tcW w:w="829" w:type="pct"/>
            <w:shd w:val="clear" w:color="auto" w:fill="D9D9D9"/>
          </w:tcPr>
          <w:p w14:paraId="5C38DD42" w14:textId="77777777" w:rsidR="00793D69" w:rsidRPr="00793D69" w:rsidRDefault="00793D69" w:rsidP="00D73374">
            <w:pPr>
              <w:spacing w:line="276" w:lineRule="auto"/>
              <w:rPr>
                <w:rFonts w:ascii="Calibri" w:eastAsia="Calibri" w:hAnsi="Calibri" w:cs="Times New Roman"/>
              </w:rPr>
            </w:pPr>
          </w:p>
        </w:tc>
        <w:tc>
          <w:tcPr>
            <w:tcW w:w="825" w:type="pct"/>
            <w:shd w:val="clear" w:color="auto" w:fill="D9D9D9"/>
          </w:tcPr>
          <w:p w14:paraId="0C8D23BE" w14:textId="77777777" w:rsidR="00793D69" w:rsidRPr="00793D69" w:rsidRDefault="00793D69" w:rsidP="00D73374">
            <w:pPr>
              <w:spacing w:line="276" w:lineRule="auto"/>
              <w:rPr>
                <w:rFonts w:ascii="Calibri" w:eastAsia="Calibri" w:hAnsi="Calibri" w:cs="Times New Roman"/>
              </w:rPr>
            </w:pPr>
          </w:p>
        </w:tc>
        <w:tc>
          <w:tcPr>
            <w:tcW w:w="879" w:type="pct"/>
            <w:shd w:val="clear" w:color="auto" w:fill="D9D9D9"/>
          </w:tcPr>
          <w:p w14:paraId="1DA0DFAE" w14:textId="77777777" w:rsidR="00793D69" w:rsidRPr="00793D69" w:rsidRDefault="00793D69" w:rsidP="00D73374">
            <w:pPr>
              <w:spacing w:line="276" w:lineRule="auto"/>
              <w:rPr>
                <w:rFonts w:ascii="Calibri" w:eastAsia="Calibri" w:hAnsi="Calibri" w:cs="Times New Roman"/>
              </w:rPr>
            </w:pPr>
          </w:p>
        </w:tc>
        <w:tc>
          <w:tcPr>
            <w:tcW w:w="824" w:type="pct"/>
            <w:shd w:val="clear" w:color="auto" w:fill="D9D9D9"/>
          </w:tcPr>
          <w:p w14:paraId="3FB1DDC5" w14:textId="77777777" w:rsidR="00793D69" w:rsidRPr="00793D69" w:rsidRDefault="00793D69" w:rsidP="00D73374">
            <w:pPr>
              <w:spacing w:line="276" w:lineRule="auto"/>
              <w:rPr>
                <w:rFonts w:ascii="Calibri" w:eastAsia="Calibri" w:hAnsi="Calibri" w:cs="Times New Roman"/>
              </w:rPr>
            </w:pPr>
          </w:p>
        </w:tc>
        <w:tc>
          <w:tcPr>
            <w:tcW w:w="823" w:type="pct"/>
            <w:shd w:val="clear" w:color="auto" w:fill="D9D9D9"/>
          </w:tcPr>
          <w:p w14:paraId="259593F4" w14:textId="77777777" w:rsidR="00793D69" w:rsidRPr="00793D69" w:rsidRDefault="00793D69" w:rsidP="00D73374">
            <w:pPr>
              <w:spacing w:line="276" w:lineRule="auto"/>
              <w:rPr>
                <w:rFonts w:ascii="Calibri" w:eastAsia="Calibri" w:hAnsi="Calibri" w:cs="Times New Roman"/>
              </w:rPr>
            </w:pPr>
          </w:p>
        </w:tc>
      </w:tr>
      <w:tr w:rsidR="00793D69" w:rsidRPr="00793D69" w14:paraId="6E9EC8E9" w14:textId="77777777" w:rsidTr="00477600">
        <w:tc>
          <w:tcPr>
            <w:tcW w:w="820" w:type="pct"/>
          </w:tcPr>
          <w:p w14:paraId="6A2BA260"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 xml:space="preserve">Doncaster </w:t>
            </w:r>
          </w:p>
        </w:tc>
        <w:tc>
          <w:tcPr>
            <w:tcW w:w="829" w:type="pct"/>
          </w:tcPr>
          <w:p w14:paraId="27013E47"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15,640</w:t>
            </w:r>
          </w:p>
        </w:tc>
        <w:tc>
          <w:tcPr>
            <w:tcW w:w="825" w:type="pct"/>
          </w:tcPr>
          <w:p w14:paraId="75BEF7DE"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920</w:t>
            </w:r>
          </w:p>
        </w:tc>
        <w:tc>
          <w:tcPr>
            <w:tcW w:w="879" w:type="pct"/>
          </w:tcPr>
          <w:p w14:paraId="3A37E3D4"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2015 to 2035</w:t>
            </w:r>
          </w:p>
        </w:tc>
        <w:tc>
          <w:tcPr>
            <w:tcW w:w="824" w:type="pct"/>
          </w:tcPr>
          <w:p w14:paraId="0D2C1050"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 xml:space="preserve">Local Plan </w:t>
            </w:r>
          </w:p>
        </w:tc>
        <w:tc>
          <w:tcPr>
            <w:tcW w:w="823" w:type="pct"/>
          </w:tcPr>
          <w:p w14:paraId="6E7A8DCC" w14:textId="77777777" w:rsidR="00793D69" w:rsidRPr="00793D69" w:rsidRDefault="00793D69" w:rsidP="00D73374">
            <w:pPr>
              <w:spacing w:line="276" w:lineRule="auto"/>
              <w:rPr>
                <w:rFonts w:ascii="Calibri" w:eastAsia="Calibri" w:hAnsi="Calibri" w:cs="Times New Roman"/>
              </w:rPr>
            </w:pPr>
          </w:p>
        </w:tc>
      </w:tr>
      <w:tr w:rsidR="00793D69" w:rsidRPr="00793D69" w14:paraId="473A077E" w14:textId="77777777" w:rsidTr="00477600">
        <w:tc>
          <w:tcPr>
            <w:tcW w:w="820" w:type="pct"/>
          </w:tcPr>
          <w:p w14:paraId="5C8E91F2"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Rotherham</w:t>
            </w:r>
          </w:p>
        </w:tc>
        <w:tc>
          <w:tcPr>
            <w:tcW w:w="829" w:type="pct"/>
          </w:tcPr>
          <w:p w14:paraId="6481E221"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14,371</w:t>
            </w:r>
          </w:p>
        </w:tc>
        <w:tc>
          <w:tcPr>
            <w:tcW w:w="825" w:type="pct"/>
          </w:tcPr>
          <w:p w14:paraId="65CCF76F"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958</w:t>
            </w:r>
          </w:p>
        </w:tc>
        <w:tc>
          <w:tcPr>
            <w:tcW w:w="879" w:type="pct"/>
          </w:tcPr>
          <w:p w14:paraId="033D494D" w14:textId="77777777" w:rsidR="00793D69" w:rsidRPr="00793D69" w:rsidRDefault="00793D69" w:rsidP="00D73374">
            <w:pPr>
              <w:spacing w:line="276" w:lineRule="auto"/>
              <w:rPr>
                <w:rFonts w:ascii="Calibri" w:eastAsia="Calibri" w:hAnsi="Calibri" w:cs="Times New Roman"/>
              </w:rPr>
            </w:pPr>
          </w:p>
        </w:tc>
        <w:tc>
          <w:tcPr>
            <w:tcW w:w="824" w:type="pct"/>
          </w:tcPr>
          <w:p w14:paraId="6131B8A2"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SYMCA-</w:t>
            </w:r>
            <w:proofErr w:type="spellStart"/>
            <w:r w:rsidRPr="00793D69">
              <w:rPr>
                <w:rFonts w:ascii="Calibri" w:eastAsia="Calibri" w:hAnsi="Calibri" w:cs="Times New Roman"/>
              </w:rPr>
              <w:t>SoCG</w:t>
            </w:r>
            <w:proofErr w:type="spellEnd"/>
            <w:r w:rsidRPr="00793D69">
              <w:rPr>
                <w:rFonts w:ascii="Calibri" w:eastAsia="Calibri" w:hAnsi="Calibri" w:cs="Times New Roman"/>
              </w:rPr>
              <w:t xml:space="preserve"> (Annex 1, Table 1.)</w:t>
            </w:r>
          </w:p>
        </w:tc>
        <w:tc>
          <w:tcPr>
            <w:tcW w:w="823" w:type="pct"/>
          </w:tcPr>
          <w:p w14:paraId="4B84F865"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The Rotherham Local Plan is made up of a Core Strategy (adopted in 2014) and a Sites and Policies document (adopted 2018)</w:t>
            </w:r>
          </w:p>
        </w:tc>
      </w:tr>
      <w:tr w:rsidR="00793D69" w:rsidRPr="00793D69" w14:paraId="25624BF2" w14:textId="77777777" w:rsidTr="00477600">
        <w:tc>
          <w:tcPr>
            <w:tcW w:w="820" w:type="pct"/>
          </w:tcPr>
          <w:p w14:paraId="183E4D95"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 xml:space="preserve">Sheffield </w:t>
            </w:r>
          </w:p>
        </w:tc>
        <w:tc>
          <w:tcPr>
            <w:tcW w:w="829" w:type="pct"/>
          </w:tcPr>
          <w:p w14:paraId="29331AAE" w14:textId="77777777" w:rsidR="00793D69" w:rsidRPr="00793D69" w:rsidRDefault="00793D69" w:rsidP="00D73374">
            <w:pPr>
              <w:spacing w:line="276" w:lineRule="auto"/>
              <w:rPr>
                <w:rFonts w:ascii="Calibri" w:eastAsia="Calibri" w:hAnsi="Calibri" w:cs="Times New Roman"/>
              </w:rPr>
            </w:pPr>
          </w:p>
        </w:tc>
        <w:tc>
          <w:tcPr>
            <w:tcW w:w="825" w:type="pct"/>
          </w:tcPr>
          <w:p w14:paraId="28935EFA"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2,040</w:t>
            </w:r>
          </w:p>
        </w:tc>
        <w:tc>
          <w:tcPr>
            <w:tcW w:w="879" w:type="pct"/>
          </w:tcPr>
          <w:p w14:paraId="38AF6786" w14:textId="77777777" w:rsidR="00793D69" w:rsidRPr="00793D69" w:rsidRDefault="00793D69" w:rsidP="00D73374">
            <w:pPr>
              <w:spacing w:line="276" w:lineRule="auto"/>
              <w:rPr>
                <w:rFonts w:ascii="Calibri" w:eastAsia="Calibri" w:hAnsi="Calibri" w:cs="Times New Roman"/>
              </w:rPr>
            </w:pPr>
          </w:p>
        </w:tc>
        <w:tc>
          <w:tcPr>
            <w:tcW w:w="824" w:type="pct"/>
          </w:tcPr>
          <w:p w14:paraId="3C235D31"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SYMCA-</w:t>
            </w:r>
            <w:proofErr w:type="spellStart"/>
            <w:r w:rsidRPr="00793D69">
              <w:rPr>
                <w:rFonts w:ascii="Calibri" w:eastAsia="Calibri" w:hAnsi="Calibri" w:cs="Times New Roman"/>
              </w:rPr>
              <w:t>SoCG</w:t>
            </w:r>
            <w:proofErr w:type="spellEnd"/>
          </w:p>
        </w:tc>
        <w:tc>
          <w:tcPr>
            <w:tcW w:w="823" w:type="pct"/>
          </w:tcPr>
          <w:p w14:paraId="33BAEEA7"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Publication Draft Sheffield Plan (January 2023)</w:t>
            </w:r>
          </w:p>
        </w:tc>
      </w:tr>
      <w:tr w:rsidR="00793D69" w:rsidRPr="00793D69" w14:paraId="5B9DF9B1" w14:textId="77777777" w:rsidTr="00477600">
        <w:tc>
          <w:tcPr>
            <w:tcW w:w="820" w:type="pct"/>
          </w:tcPr>
          <w:p w14:paraId="47083D22"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Barnsley</w:t>
            </w:r>
          </w:p>
        </w:tc>
        <w:tc>
          <w:tcPr>
            <w:tcW w:w="829" w:type="pct"/>
          </w:tcPr>
          <w:p w14:paraId="221E205D" w14:textId="77777777" w:rsidR="00793D69" w:rsidRPr="00793D69" w:rsidRDefault="00793D69" w:rsidP="00D73374">
            <w:pPr>
              <w:spacing w:line="276" w:lineRule="auto"/>
              <w:rPr>
                <w:rFonts w:ascii="Calibri" w:eastAsia="Calibri" w:hAnsi="Calibri" w:cs="Times New Roman"/>
              </w:rPr>
            </w:pPr>
          </w:p>
        </w:tc>
        <w:tc>
          <w:tcPr>
            <w:tcW w:w="825" w:type="pct"/>
          </w:tcPr>
          <w:p w14:paraId="78CC4F8C"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1,134</w:t>
            </w:r>
          </w:p>
        </w:tc>
        <w:tc>
          <w:tcPr>
            <w:tcW w:w="879" w:type="pct"/>
          </w:tcPr>
          <w:p w14:paraId="51149DCD" w14:textId="77777777" w:rsidR="00793D69" w:rsidRPr="00793D69" w:rsidRDefault="00793D69" w:rsidP="00D73374">
            <w:pPr>
              <w:spacing w:line="276" w:lineRule="auto"/>
              <w:rPr>
                <w:rFonts w:ascii="Calibri" w:eastAsia="Calibri" w:hAnsi="Calibri" w:cs="Times New Roman"/>
              </w:rPr>
            </w:pPr>
          </w:p>
        </w:tc>
        <w:tc>
          <w:tcPr>
            <w:tcW w:w="824" w:type="pct"/>
          </w:tcPr>
          <w:p w14:paraId="1EF6A9B3"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SYMCA-</w:t>
            </w:r>
            <w:proofErr w:type="spellStart"/>
            <w:r w:rsidRPr="00793D69">
              <w:rPr>
                <w:rFonts w:ascii="Calibri" w:eastAsia="Calibri" w:hAnsi="Calibri" w:cs="Times New Roman"/>
              </w:rPr>
              <w:t>SoCG</w:t>
            </w:r>
            <w:proofErr w:type="spellEnd"/>
          </w:p>
        </w:tc>
        <w:tc>
          <w:tcPr>
            <w:tcW w:w="823" w:type="pct"/>
          </w:tcPr>
          <w:p w14:paraId="77D904E7" w14:textId="77777777" w:rsidR="00793D69" w:rsidRPr="00793D69" w:rsidRDefault="00793D69" w:rsidP="00D73374">
            <w:pPr>
              <w:spacing w:line="276" w:lineRule="auto"/>
              <w:rPr>
                <w:rFonts w:ascii="Calibri" w:eastAsia="Calibri" w:hAnsi="Calibri" w:cs="Times New Roman"/>
              </w:rPr>
            </w:pPr>
          </w:p>
        </w:tc>
      </w:tr>
      <w:tr w:rsidR="00793D69" w:rsidRPr="00793D69" w14:paraId="111DC62D" w14:textId="77777777" w:rsidTr="00477600">
        <w:tc>
          <w:tcPr>
            <w:tcW w:w="820" w:type="pct"/>
          </w:tcPr>
          <w:p w14:paraId="5680EB2B" w14:textId="77777777" w:rsidR="00793D69" w:rsidRPr="00793D69" w:rsidRDefault="00793D69" w:rsidP="00D73374">
            <w:pPr>
              <w:spacing w:line="276" w:lineRule="auto"/>
              <w:rPr>
                <w:rFonts w:ascii="Calibri" w:eastAsia="Calibri" w:hAnsi="Calibri" w:cs="Times New Roman"/>
                <w:b/>
                <w:bCs/>
              </w:rPr>
            </w:pPr>
            <w:r w:rsidRPr="00793D69">
              <w:rPr>
                <w:rFonts w:ascii="Calibri" w:eastAsia="Calibri" w:hAnsi="Calibri" w:cs="Times New Roman"/>
                <w:b/>
                <w:bCs/>
              </w:rPr>
              <w:t>Total</w:t>
            </w:r>
          </w:p>
        </w:tc>
        <w:tc>
          <w:tcPr>
            <w:tcW w:w="829" w:type="pct"/>
          </w:tcPr>
          <w:p w14:paraId="2ACAB1BB" w14:textId="77777777" w:rsidR="00793D69" w:rsidRPr="00793D69" w:rsidRDefault="00793D69" w:rsidP="00D73374">
            <w:pPr>
              <w:spacing w:line="276" w:lineRule="auto"/>
              <w:rPr>
                <w:rFonts w:ascii="Calibri" w:eastAsia="Calibri" w:hAnsi="Calibri" w:cs="Times New Roman"/>
              </w:rPr>
            </w:pPr>
          </w:p>
        </w:tc>
        <w:tc>
          <w:tcPr>
            <w:tcW w:w="825" w:type="pct"/>
          </w:tcPr>
          <w:p w14:paraId="3D1115FF" w14:textId="77777777" w:rsidR="00793D69" w:rsidRPr="00793D69" w:rsidRDefault="00793D69" w:rsidP="00D73374">
            <w:pPr>
              <w:spacing w:line="276" w:lineRule="auto"/>
              <w:rPr>
                <w:rFonts w:ascii="Calibri" w:eastAsia="Calibri" w:hAnsi="Calibri" w:cs="Times New Roman"/>
                <w:b/>
                <w:bCs/>
              </w:rPr>
            </w:pPr>
            <w:r w:rsidRPr="00793D69">
              <w:rPr>
                <w:rFonts w:ascii="Calibri" w:eastAsia="Calibri" w:hAnsi="Calibri" w:cs="Times New Roman"/>
                <w:b/>
                <w:bCs/>
              </w:rPr>
              <w:t>5,052</w:t>
            </w:r>
          </w:p>
        </w:tc>
        <w:tc>
          <w:tcPr>
            <w:tcW w:w="879" w:type="pct"/>
          </w:tcPr>
          <w:p w14:paraId="5385A0EA" w14:textId="77777777" w:rsidR="00793D69" w:rsidRPr="00793D69" w:rsidRDefault="00793D69" w:rsidP="00D73374">
            <w:pPr>
              <w:spacing w:line="276" w:lineRule="auto"/>
              <w:rPr>
                <w:rFonts w:ascii="Calibri" w:eastAsia="Calibri" w:hAnsi="Calibri" w:cs="Times New Roman"/>
              </w:rPr>
            </w:pPr>
          </w:p>
        </w:tc>
        <w:tc>
          <w:tcPr>
            <w:tcW w:w="824" w:type="pct"/>
          </w:tcPr>
          <w:p w14:paraId="487B2393" w14:textId="77777777" w:rsidR="00793D69" w:rsidRPr="00793D69" w:rsidRDefault="00793D69" w:rsidP="00D73374">
            <w:pPr>
              <w:spacing w:line="276" w:lineRule="auto"/>
              <w:rPr>
                <w:rFonts w:ascii="Calibri" w:eastAsia="Calibri" w:hAnsi="Calibri" w:cs="Times New Roman"/>
              </w:rPr>
            </w:pPr>
          </w:p>
        </w:tc>
        <w:tc>
          <w:tcPr>
            <w:tcW w:w="823" w:type="pct"/>
          </w:tcPr>
          <w:p w14:paraId="37108DD4" w14:textId="77777777" w:rsidR="00793D69" w:rsidRPr="00793D69" w:rsidRDefault="00793D69" w:rsidP="00D73374">
            <w:pPr>
              <w:spacing w:line="276" w:lineRule="auto"/>
              <w:rPr>
                <w:rFonts w:ascii="Calibri" w:eastAsia="Calibri" w:hAnsi="Calibri" w:cs="Times New Roman"/>
              </w:rPr>
            </w:pPr>
          </w:p>
        </w:tc>
      </w:tr>
      <w:tr w:rsidR="00793D69" w:rsidRPr="00793D69" w14:paraId="4511CD42" w14:textId="77777777" w:rsidTr="00793D69">
        <w:tc>
          <w:tcPr>
            <w:tcW w:w="820" w:type="pct"/>
            <w:shd w:val="clear" w:color="auto" w:fill="D9D9D9"/>
          </w:tcPr>
          <w:p w14:paraId="3E485CC0"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West Yorkshire</w:t>
            </w:r>
          </w:p>
        </w:tc>
        <w:tc>
          <w:tcPr>
            <w:tcW w:w="829" w:type="pct"/>
            <w:shd w:val="clear" w:color="auto" w:fill="D9D9D9"/>
          </w:tcPr>
          <w:p w14:paraId="791B18A0" w14:textId="77777777" w:rsidR="00793D69" w:rsidRPr="00793D69" w:rsidRDefault="00793D69" w:rsidP="00D73374">
            <w:pPr>
              <w:spacing w:line="276" w:lineRule="auto"/>
              <w:rPr>
                <w:rFonts w:ascii="Calibri" w:eastAsia="Calibri" w:hAnsi="Calibri" w:cs="Times New Roman"/>
              </w:rPr>
            </w:pPr>
          </w:p>
        </w:tc>
        <w:tc>
          <w:tcPr>
            <w:tcW w:w="825" w:type="pct"/>
            <w:shd w:val="clear" w:color="auto" w:fill="D9D9D9"/>
          </w:tcPr>
          <w:p w14:paraId="1F8C9B07" w14:textId="77777777" w:rsidR="00793D69" w:rsidRPr="00793D69" w:rsidRDefault="00793D69" w:rsidP="00D73374">
            <w:pPr>
              <w:spacing w:line="276" w:lineRule="auto"/>
              <w:rPr>
                <w:rFonts w:ascii="Calibri" w:eastAsia="Calibri" w:hAnsi="Calibri" w:cs="Times New Roman"/>
              </w:rPr>
            </w:pPr>
          </w:p>
        </w:tc>
        <w:tc>
          <w:tcPr>
            <w:tcW w:w="879" w:type="pct"/>
            <w:shd w:val="clear" w:color="auto" w:fill="D9D9D9"/>
          </w:tcPr>
          <w:p w14:paraId="70241A68" w14:textId="77777777" w:rsidR="00793D69" w:rsidRPr="00793D69" w:rsidRDefault="00793D69" w:rsidP="00D73374">
            <w:pPr>
              <w:spacing w:line="276" w:lineRule="auto"/>
              <w:rPr>
                <w:rFonts w:ascii="Calibri" w:eastAsia="Calibri" w:hAnsi="Calibri" w:cs="Times New Roman"/>
              </w:rPr>
            </w:pPr>
          </w:p>
        </w:tc>
        <w:tc>
          <w:tcPr>
            <w:tcW w:w="824" w:type="pct"/>
            <w:shd w:val="clear" w:color="auto" w:fill="D9D9D9"/>
          </w:tcPr>
          <w:p w14:paraId="3415F0D5" w14:textId="77777777" w:rsidR="00793D69" w:rsidRPr="00793D69" w:rsidRDefault="00793D69" w:rsidP="00D73374">
            <w:pPr>
              <w:spacing w:line="276" w:lineRule="auto"/>
              <w:rPr>
                <w:rFonts w:ascii="Calibri" w:eastAsia="Calibri" w:hAnsi="Calibri" w:cs="Times New Roman"/>
              </w:rPr>
            </w:pPr>
          </w:p>
        </w:tc>
        <w:tc>
          <w:tcPr>
            <w:tcW w:w="823" w:type="pct"/>
            <w:shd w:val="clear" w:color="auto" w:fill="D9D9D9"/>
          </w:tcPr>
          <w:p w14:paraId="48C4E854" w14:textId="77777777" w:rsidR="00793D69" w:rsidRPr="00793D69" w:rsidRDefault="00793D69" w:rsidP="00D73374">
            <w:pPr>
              <w:spacing w:line="276" w:lineRule="auto"/>
              <w:rPr>
                <w:rFonts w:ascii="Calibri" w:eastAsia="Calibri" w:hAnsi="Calibri" w:cs="Times New Roman"/>
              </w:rPr>
            </w:pPr>
          </w:p>
        </w:tc>
      </w:tr>
      <w:tr w:rsidR="00793D69" w:rsidRPr="00793D69" w14:paraId="0ADDD76C" w14:textId="77777777" w:rsidTr="00477600">
        <w:tc>
          <w:tcPr>
            <w:tcW w:w="820" w:type="pct"/>
          </w:tcPr>
          <w:p w14:paraId="56FC48A6"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Wakefield</w:t>
            </w:r>
          </w:p>
        </w:tc>
        <w:tc>
          <w:tcPr>
            <w:tcW w:w="829" w:type="pct"/>
          </w:tcPr>
          <w:p w14:paraId="277BE2D2"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26,600</w:t>
            </w:r>
          </w:p>
        </w:tc>
        <w:tc>
          <w:tcPr>
            <w:tcW w:w="825" w:type="pct"/>
          </w:tcPr>
          <w:p w14:paraId="56B955F3"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1,400</w:t>
            </w:r>
          </w:p>
        </w:tc>
        <w:tc>
          <w:tcPr>
            <w:tcW w:w="879" w:type="pct"/>
          </w:tcPr>
          <w:p w14:paraId="1F2325F1"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2017 to 2036</w:t>
            </w:r>
          </w:p>
        </w:tc>
        <w:tc>
          <w:tcPr>
            <w:tcW w:w="824" w:type="pct"/>
          </w:tcPr>
          <w:p w14:paraId="22736026" w14:textId="305B9F8F"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West Yorkshire LAA (</w:t>
            </w:r>
            <w:r w:rsidR="000A6367">
              <w:rPr>
                <w:rFonts w:ascii="Calibri" w:eastAsia="Calibri" w:hAnsi="Calibri" w:cs="Times New Roman"/>
              </w:rPr>
              <w:t>202*</w:t>
            </w:r>
            <w:r w:rsidRPr="00793D69">
              <w:rPr>
                <w:rFonts w:ascii="Calibri" w:eastAsia="Calibri" w:hAnsi="Calibri" w:cs="Times New Roman"/>
              </w:rPr>
              <w:t>)</w:t>
            </w:r>
          </w:p>
        </w:tc>
        <w:tc>
          <w:tcPr>
            <w:tcW w:w="823" w:type="pct"/>
          </w:tcPr>
          <w:p w14:paraId="3F3C643A" w14:textId="77777777" w:rsidR="00793D69" w:rsidRPr="00793D69" w:rsidRDefault="00793D69" w:rsidP="00D73374">
            <w:pPr>
              <w:spacing w:line="276" w:lineRule="auto"/>
              <w:rPr>
                <w:rFonts w:ascii="Calibri" w:eastAsia="Calibri" w:hAnsi="Calibri" w:cs="Times New Roman"/>
              </w:rPr>
            </w:pPr>
          </w:p>
        </w:tc>
      </w:tr>
      <w:tr w:rsidR="00793D69" w:rsidRPr="00793D69" w14:paraId="333AF8C8" w14:textId="77777777" w:rsidTr="00477600">
        <w:tc>
          <w:tcPr>
            <w:tcW w:w="820" w:type="pct"/>
          </w:tcPr>
          <w:p w14:paraId="7B9DEF3F"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Leeds</w:t>
            </w:r>
          </w:p>
        </w:tc>
        <w:tc>
          <w:tcPr>
            <w:tcW w:w="829" w:type="pct"/>
          </w:tcPr>
          <w:p w14:paraId="74F039BF"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54,352</w:t>
            </w:r>
          </w:p>
        </w:tc>
        <w:tc>
          <w:tcPr>
            <w:tcW w:w="825" w:type="pct"/>
          </w:tcPr>
          <w:p w14:paraId="3EE449F3"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3,397</w:t>
            </w:r>
          </w:p>
        </w:tc>
        <w:tc>
          <w:tcPr>
            <w:tcW w:w="879" w:type="pct"/>
          </w:tcPr>
          <w:p w14:paraId="56F5C8F7"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2017 to 2033</w:t>
            </w:r>
          </w:p>
        </w:tc>
        <w:tc>
          <w:tcPr>
            <w:tcW w:w="824" w:type="pct"/>
          </w:tcPr>
          <w:p w14:paraId="2E2B95D5" w14:textId="45FB0CEA"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West Yorkshire LAA (</w:t>
            </w:r>
            <w:r w:rsidR="000A6367">
              <w:rPr>
                <w:rFonts w:ascii="Calibri" w:eastAsia="Calibri" w:hAnsi="Calibri" w:cs="Times New Roman"/>
              </w:rPr>
              <w:t>202*</w:t>
            </w:r>
            <w:r w:rsidRPr="00793D69">
              <w:rPr>
                <w:rFonts w:ascii="Calibri" w:eastAsia="Calibri" w:hAnsi="Calibri" w:cs="Times New Roman"/>
              </w:rPr>
              <w:t>)</w:t>
            </w:r>
          </w:p>
        </w:tc>
        <w:tc>
          <w:tcPr>
            <w:tcW w:w="823" w:type="pct"/>
          </w:tcPr>
          <w:p w14:paraId="591FC7A5" w14:textId="77777777" w:rsidR="00793D69" w:rsidRPr="00793D69" w:rsidRDefault="00793D69" w:rsidP="00D73374">
            <w:pPr>
              <w:spacing w:line="276" w:lineRule="auto"/>
              <w:rPr>
                <w:rFonts w:ascii="Calibri" w:eastAsia="Calibri" w:hAnsi="Calibri" w:cs="Times New Roman"/>
              </w:rPr>
            </w:pPr>
          </w:p>
        </w:tc>
      </w:tr>
      <w:tr w:rsidR="00793D69" w:rsidRPr="00793D69" w14:paraId="62C39021" w14:textId="77777777" w:rsidTr="00477600">
        <w:tc>
          <w:tcPr>
            <w:tcW w:w="820" w:type="pct"/>
          </w:tcPr>
          <w:p w14:paraId="7866E373"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Bradford</w:t>
            </w:r>
          </w:p>
        </w:tc>
        <w:tc>
          <w:tcPr>
            <w:tcW w:w="829" w:type="pct"/>
          </w:tcPr>
          <w:p w14:paraId="1E30A7F8"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30,672</w:t>
            </w:r>
          </w:p>
        </w:tc>
        <w:tc>
          <w:tcPr>
            <w:tcW w:w="825" w:type="pct"/>
          </w:tcPr>
          <w:p w14:paraId="4BA88BDE"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1,704</w:t>
            </w:r>
          </w:p>
        </w:tc>
        <w:tc>
          <w:tcPr>
            <w:tcW w:w="879" w:type="pct"/>
          </w:tcPr>
          <w:p w14:paraId="1C0A9506"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2020 to 2038</w:t>
            </w:r>
          </w:p>
        </w:tc>
        <w:tc>
          <w:tcPr>
            <w:tcW w:w="824" w:type="pct"/>
          </w:tcPr>
          <w:p w14:paraId="5D03C4B2" w14:textId="56A8A03C"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West Yorkshire LAA (</w:t>
            </w:r>
            <w:r w:rsidR="000A6367">
              <w:rPr>
                <w:rFonts w:ascii="Calibri" w:eastAsia="Calibri" w:hAnsi="Calibri" w:cs="Times New Roman"/>
              </w:rPr>
              <w:t>202*</w:t>
            </w:r>
            <w:r w:rsidRPr="00793D69">
              <w:rPr>
                <w:rFonts w:ascii="Calibri" w:eastAsia="Calibri" w:hAnsi="Calibri" w:cs="Times New Roman"/>
              </w:rPr>
              <w:t>)</w:t>
            </w:r>
          </w:p>
        </w:tc>
        <w:tc>
          <w:tcPr>
            <w:tcW w:w="823" w:type="pct"/>
          </w:tcPr>
          <w:p w14:paraId="749DBF5F" w14:textId="77777777" w:rsidR="00793D69" w:rsidRPr="00793D69" w:rsidRDefault="00793D69" w:rsidP="00D73374">
            <w:pPr>
              <w:spacing w:line="276" w:lineRule="auto"/>
              <w:rPr>
                <w:rFonts w:ascii="Calibri" w:eastAsia="Calibri" w:hAnsi="Calibri" w:cs="Times New Roman"/>
              </w:rPr>
            </w:pPr>
          </w:p>
        </w:tc>
      </w:tr>
      <w:tr w:rsidR="00793D69" w:rsidRPr="00793D69" w14:paraId="7E6A50C4" w14:textId="77777777" w:rsidTr="00477600">
        <w:tc>
          <w:tcPr>
            <w:tcW w:w="820" w:type="pct"/>
          </w:tcPr>
          <w:p w14:paraId="037D1C22"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Kirklees</w:t>
            </w:r>
          </w:p>
        </w:tc>
        <w:tc>
          <w:tcPr>
            <w:tcW w:w="829" w:type="pct"/>
          </w:tcPr>
          <w:p w14:paraId="71ACE52B"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31,140</w:t>
            </w:r>
          </w:p>
        </w:tc>
        <w:tc>
          <w:tcPr>
            <w:tcW w:w="825" w:type="pct"/>
          </w:tcPr>
          <w:p w14:paraId="10E091E5"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1,730</w:t>
            </w:r>
          </w:p>
        </w:tc>
        <w:tc>
          <w:tcPr>
            <w:tcW w:w="879" w:type="pct"/>
          </w:tcPr>
          <w:p w14:paraId="1249A7A1"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2013 to 2031</w:t>
            </w:r>
          </w:p>
        </w:tc>
        <w:tc>
          <w:tcPr>
            <w:tcW w:w="824" w:type="pct"/>
          </w:tcPr>
          <w:p w14:paraId="2EB09020" w14:textId="1B107C88"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West Yorkshire LAA (</w:t>
            </w:r>
            <w:r w:rsidR="000A6367">
              <w:rPr>
                <w:rFonts w:ascii="Calibri" w:eastAsia="Calibri" w:hAnsi="Calibri" w:cs="Times New Roman"/>
              </w:rPr>
              <w:t>202*</w:t>
            </w:r>
            <w:r w:rsidRPr="00793D69">
              <w:rPr>
                <w:rFonts w:ascii="Calibri" w:eastAsia="Calibri" w:hAnsi="Calibri" w:cs="Times New Roman"/>
              </w:rPr>
              <w:t>)</w:t>
            </w:r>
          </w:p>
        </w:tc>
        <w:tc>
          <w:tcPr>
            <w:tcW w:w="823" w:type="pct"/>
          </w:tcPr>
          <w:p w14:paraId="4695DDC9" w14:textId="77777777" w:rsidR="00793D69" w:rsidRPr="00793D69" w:rsidRDefault="00793D69" w:rsidP="00D73374">
            <w:pPr>
              <w:spacing w:line="276" w:lineRule="auto"/>
              <w:rPr>
                <w:rFonts w:ascii="Calibri" w:eastAsia="Calibri" w:hAnsi="Calibri" w:cs="Times New Roman"/>
              </w:rPr>
            </w:pPr>
          </w:p>
        </w:tc>
      </w:tr>
      <w:tr w:rsidR="00793D69" w:rsidRPr="00793D69" w14:paraId="3CD970D2" w14:textId="77777777" w:rsidTr="00477600">
        <w:tc>
          <w:tcPr>
            <w:tcW w:w="820" w:type="pct"/>
          </w:tcPr>
          <w:p w14:paraId="4FA96CDB"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Calderdale</w:t>
            </w:r>
          </w:p>
        </w:tc>
        <w:tc>
          <w:tcPr>
            <w:tcW w:w="829" w:type="pct"/>
          </w:tcPr>
          <w:p w14:paraId="31C1FEED"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12,600</w:t>
            </w:r>
          </w:p>
        </w:tc>
        <w:tc>
          <w:tcPr>
            <w:tcW w:w="825" w:type="pct"/>
          </w:tcPr>
          <w:p w14:paraId="7A5D9D1D"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997</w:t>
            </w:r>
          </w:p>
        </w:tc>
        <w:tc>
          <w:tcPr>
            <w:tcW w:w="879" w:type="pct"/>
          </w:tcPr>
          <w:p w14:paraId="74616BA0"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2018 to 2033</w:t>
            </w:r>
          </w:p>
        </w:tc>
        <w:tc>
          <w:tcPr>
            <w:tcW w:w="824" w:type="pct"/>
          </w:tcPr>
          <w:p w14:paraId="586AD056" w14:textId="522087D0"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rPr>
              <w:t>West Yorkshire LAA (</w:t>
            </w:r>
            <w:r w:rsidR="000A6367">
              <w:rPr>
                <w:rFonts w:ascii="Calibri" w:eastAsia="Calibri" w:hAnsi="Calibri" w:cs="Times New Roman"/>
              </w:rPr>
              <w:t>202*</w:t>
            </w:r>
            <w:r w:rsidRPr="00793D69">
              <w:rPr>
                <w:rFonts w:ascii="Calibri" w:eastAsia="Calibri" w:hAnsi="Calibri" w:cs="Times New Roman"/>
              </w:rPr>
              <w:t>)</w:t>
            </w:r>
          </w:p>
        </w:tc>
        <w:tc>
          <w:tcPr>
            <w:tcW w:w="823" w:type="pct"/>
          </w:tcPr>
          <w:p w14:paraId="14C74CC9" w14:textId="77777777" w:rsidR="00793D69" w:rsidRPr="00793D69" w:rsidRDefault="00793D69" w:rsidP="00D73374">
            <w:pPr>
              <w:spacing w:line="276" w:lineRule="auto"/>
              <w:rPr>
                <w:rFonts w:ascii="Calibri" w:eastAsia="Calibri" w:hAnsi="Calibri" w:cs="Times New Roman"/>
              </w:rPr>
            </w:pPr>
          </w:p>
        </w:tc>
      </w:tr>
      <w:tr w:rsidR="00793D69" w:rsidRPr="00793D69" w14:paraId="1E455F71" w14:textId="77777777" w:rsidTr="00477600">
        <w:tc>
          <w:tcPr>
            <w:tcW w:w="820" w:type="pct"/>
          </w:tcPr>
          <w:p w14:paraId="7CC9EBCC" w14:textId="77777777" w:rsidR="00793D69" w:rsidRPr="00793D69" w:rsidRDefault="00793D69" w:rsidP="00D73374">
            <w:pPr>
              <w:spacing w:line="276" w:lineRule="auto"/>
              <w:rPr>
                <w:rFonts w:ascii="Calibri" w:eastAsia="Calibri" w:hAnsi="Calibri" w:cs="Times New Roman"/>
              </w:rPr>
            </w:pPr>
            <w:r w:rsidRPr="00793D69">
              <w:rPr>
                <w:rFonts w:ascii="Calibri" w:eastAsia="Calibri" w:hAnsi="Calibri" w:cs="Times New Roman"/>
                <w:b/>
                <w:bCs/>
              </w:rPr>
              <w:t>Total</w:t>
            </w:r>
          </w:p>
        </w:tc>
        <w:tc>
          <w:tcPr>
            <w:tcW w:w="829" w:type="pct"/>
          </w:tcPr>
          <w:p w14:paraId="6967E432" w14:textId="77777777" w:rsidR="00793D69" w:rsidRPr="00793D69" w:rsidRDefault="00793D69" w:rsidP="00D73374">
            <w:pPr>
              <w:spacing w:line="276" w:lineRule="auto"/>
              <w:rPr>
                <w:rFonts w:ascii="Calibri" w:eastAsia="Calibri" w:hAnsi="Calibri" w:cs="Times New Roman"/>
                <w:b/>
                <w:bCs/>
              </w:rPr>
            </w:pPr>
          </w:p>
        </w:tc>
        <w:tc>
          <w:tcPr>
            <w:tcW w:w="825" w:type="pct"/>
          </w:tcPr>
          <w:p w14:paraId="51AA525E" w14:textId="77777777" w:rsidR="00793D69" w:rsidRPr="00793D69" w:rsidRDefault="00793D69" w:rsidP="00D73374">
            <w:pPr>
              <w:spacing w:line="276" w:lineRule="auto"/>
              <w:rPr>
                <w:rFonts w:ascii="Calibri" w:eastAsia="Calibri" w:hAnsi="Calibri" w:cs="Times New Roman"/>
                <w:b/>
                <w:bCs/>
              </w:rPr>
            </w:pPr>
            <w:r w:rsidRPr="00793D69">
              <w:rPr>
                <w:rFonts w:ascii="Calibri" w:eastAsia="Calibri" w:hAnsi="Calibri" w:cs="Times New Roman"/>
                <w:b/>
                <w:bCs/>
              </w:rPr>
              <w:t>9,228</w:t>
            </w:r>
          </w:p>
        </w:tc>
        <w:tc>
          <w:tcPr>
            <w:tcW w:w="879" w:type="pct"/>
          </w:tcPr>
          <w:p w14:paraId="0E26B1D3" w14:textId="77777777" w:rsidR="00793D69" w:rsidRPr="00793D69" w:rsidRDefault="00793D69" w:rsidP="00D73374">
            <w:pPr>
              <w:spacing w:line="276" w:lineRule="auto"/>
              <w:rPr>
                <w:rFonts w:ascii="Calibri" w:eastAsia="Calibri" w:hAnsi="Calibri" w:cs="Times New Roman"/>
              </w:rPr>
            </w:pPr>
          </w:p>
        </w:tc>
        <w:tc>
          <w:tcPr>
            <w:tcW w:w="824" w:type="pct"/>
          </w:tcPr>
          <w:p w14:paraId="7D809EAD" w14:textId="77777777" w:rsidR="00793D69" w:rsidRPr="00793D69" w:rsidRDefault="00793D69" w:rsidP="00D73374">
            <w:pPr>
              <w:spacing w:line="276" w:lineRule="auto"/>
              <w:rPr>
                <w:rFonts w:ascii="Calibri" w:eastAsia="Calibri" w:hAnsi="Calibri" w:cs="Times New Roman"/>
              </w:rPr>
            </w:pPr>
          </w:p>
        </w:tc>
        <w:tc>
          <w:tcPr>
            <w:tcW w:w="823" w:type="pct"/>
          </w:tcPr>
          <w:p w14:paraId="4A544770" w14:textId="77777777" w:rsidR="00793D69" w:rsidRPr="00793D69" w:rsidRDefault="00793D69" w:rsidP="00D73374">
            <w:pPr>
              <w:spacing w:line="276" w:lineRule="auto"/>
              <w:rPr>
                <w:rFonts w:ascii="Calibri" w:eastAsia="Calibri" w:hAnsi="Calibri" w:cs="Times New Roman"/>
              </w:rPr>
            </w:pPr>
          </w:p>
        </w:tc>
      </w:tr>
    </w:tbl>
    <w:p w14:paraId="5953F11E" w14:textId="77777777" w:rsidR="00793D69" w:rsidRPr="00793D69" w:rsidRDefault="00793D69" w:rsidP="00D73374">
      <w:pPr>
        <w:spacing w:line="276" w:lineRule="auto"/>
        <w:rPr>
          <w:rFonts w:ascii="Calibri Light" w:eastAsia="Times New Roman" w:hAnsi="Calibri Light" w:cs="Times New Roman"/>
          <w:color w:val="2F5496"/>
          <w:sz w:val="32"/>
          <w:szCs w:val="32"/>
          <w:lang w:eastAsia="ja-JP"/>
        </w:rPr>
      </w:pPr>
      <w:bookmarkStart w:id="87" w:name="_Toc2071534"/>
      <w:r w:rsidRPr="00793D69">
        <w:rPr>
          <w:rFonts w:ascii="Calibri" w:eastAsia="Calibri" w:hAnsi="Calibri" w:cs="Calibri"/>
          <w:b/>
          <w:bCs/>
        </w:rPr>
        <w:lastRenderedPageBreak/>
        <w:t xml:space="preserve">Table ii. </w:t>
      </w:r>
      <w:bookmarkStart w:id="88" w:name="_Hlk143679749"/>
      <w:r w:rsidRPr="00793D69">
        <w:rPr>
          <w:rFonts w:ascii="Calibri" w:eastAsia="Calibri" w:hAnsi="Calibri" w:cs="Calibri"/>
          <w:b/>
          <w:bCs/>
        </w:rPr>
        <w:t>Gross Housing Completions by Authority for South and West Yorkshire. Estimated mineral requirements</w:t>
      </w:r>
      <w:r w:rsidRPr="00793D69">
        <w:rPr>
          <w:rFonts w:ascii="Calibri" w:eastAsia="Times New Roman" w:hAnsi="Calibri" w:cs="Calibri"/>
          <w:b/>
          <w:bCs/>
        </w:rPr>
        <w:t xml:space="preserve"> and known mineral consumption for 2009, 2014 and 2019 (National Annual Aggregate Mineral Survey</w:t>
      </w:r>
      <w:bookmarkEnd w:id="87"/>
      <w:r w:rsidRPr="00793D69">
        <w:rPr>
          <w:rFonts w:ascii="Calibri" w:eastAsia="Times New Roman" w:hAnsi="Calibri" w:cs="Calibri"/>
          <w:b/>
          <w:bCs/>
        </w:rPr>
        <w:t>)</w:t>
      </w:r>
      <w:bookmarkEnd w:id="88"/>
    </w:p>
    <w:tbl>
      <w:tblPr>
        <w:tblW w:w="5000" w:type="pct"/>
        <w:tblLook w:val="04A0" w:firstRow="1" w:lastRow="0" w:firstColumn="1" w:lastColumn="0" w:noHBand="0" w:noVBand="1"/>
        <w:tblCaption w:val="Table showing Gross Housing Completions by Authority for South and West Yorkshire. Estimated mineral requirements and known mineral consumption for 2009, 2014 and 2019 (National Annual Aggregate Mineral Survey)"/>
        <w:tblDescription w:val="Table showing Gross Housing Completions by Authority for South and West Yorkshire. Estimated mineral requirements and known mineral consumption for 2009, 2014 and 2019 (National Annual Aggregate Mineral Survey)"/>
      </w:tblPr>
      <w:tblGrid>
        <w:gridCol w:w="5764"/>
        <w:gridCol w:w="3054"/>
        <w:gridCol w:w="2849"/>
        <w:gridCol w:w="2751"/>
      </w:tblGrid>
      <w:tr w:rsidR="00793D69" w:rsidRPr="00793D69" w14:paraId="14D7AC35" w14:textId="77777777" w:rsidTr="00A907AC">
        <w:trPr>
          <w:trHeight w:val="520"/>
        </w:trPr>
        <w:tc>
          <w:tcPr>
            <w:tcW w:w="1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55E18C" w14:textId="77777777" w:rsidR="00793D69" w:rsidRPr="00793D69" w:rsidRDefault="00793D69" w:rsidP="00D73374">
            <w:pPr>
              <w:spacing w:line="276" w:lineRule="auto"/>
              <w:jc w:val="center"/>
              <w:rPr>
                <w:rFonts w:ascii="Arial" w:eastAsia="Times New Roman" w:hAnsi="Arial" w:cs="Arial"/>
                <w:b/>
                <w:bCs/>
                <w:color w:val="000000"/>
                <w:sz w:val="18"/>
                <w:szCs w:val="18"/>
                <w:lang w:eastAsia="en-GB"/>
              </w:rPr>
            </w:pPr>
            <w:r w:rsidRPr="00793D69">
              <w:rPr>
                <w:rFonts w:ascii="Arial" w:eastAsia="Times New Roman" w:hAnsi="Arial" w:cs="Arial"/>
                <w:b/>
                <w:bCs/>
                <w:color w:val="000000"/>
                <w:sz w:val="18"/>
                <w:szCs w:val="18"/>
                <w:lang w:eastAsia="en-GB"/>
              </w:rPr>
              <w:t>Authority</w:t>
            </w:r>
          </w:p>
        </w:tc>
        <w:tc>
          <w:tcPr>
            <w:tcW w:w="105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DBA5C92" w14:textId="5E1779DF" w:rsidR="00793D69" w:rsidRPr="00793D69" w:rsidRDefault="00793D69" w:rsidP="00D73374">
            <w:pPr>
              <w:spacing w:line="276" w:lineRule="auto"/>
              <w:jc w:val="center"/>
              <w:rPr>
                <w:rFonts w:ascii="Arial" w:eastAsia="Times New Roman" w:hAnsi="Arial" w:cs="Arial"/>
                <w:b/>
                <w:bCs/>
                <w:color w:val="000000"/>
                <w:sz w:val="18"/>
                <w:szCs w:val="18"/>
                <w:lang w:eastAsia="en-GB"/>
              </w:rPr>
            </w:pPr>
            <w:r w:rsidRPr="00793D69">
              <w:rPr>
                <w:rFonts w:ascii="Arial" w:eastAsia="Times New Roman" w:hAnsi="Arial" w:cs="Arial"/>
                <w:b/>
                <w:bCs/>
                <w:color w:val="000000"/>
                <w:sz w:val="18"/>
                <w:szCs w:val="18"/>
                <w:lang w:eastAsia="en-GB"/>
              </w:rPr>
              <w:t>2009</w:t>
            </w:r>
          </w:p>
        </w:tc>
        <w:tc>
          <w:tcPr>
            <w:tcW w:w="98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17E4D65" w14:textId="45AB5294" w:rsidR="00793D69" w:rsidRPr="00793D69" w:rsidRDefault="00793D69" w:rsidP="00D73374">
            <w:pPr>
              <w:spacing w:line="276" w:lineRule="auto"/>
              <w:jc w:val="center"/>
              <w:rPr>
                <w:rFonts w:ascii="Arial" w:eastAsia="Times New Roman" w:hAnsi="Arial" w:cs="Arial"/>
                <w:b/>
                <w:bCs/>
                <w:color w:val="000000"/>
                <w:sz w:val="18"/>
                <w:szCs w:val="18"/>
                <w:lang w:eastAsia="en-GB"/>
              </w:rPr>
            </w:pPr>
            <w:r w:rsidRPr="00793D69">
              <w:rPr>
                <w:rFonts w:ascii="Arial" w:eastAsia="Times New Roman" w:hAnsi="Arial" w:cs="Arial"/>
                <w:b/>
                <w:bCs/>
                <w:color w:val="000000"/>
                <w:sz w:val="18"/>
                <w:szCs w:val="18"/>
                <w:lang w:eastAsia="en-GB"/>
              </w:rPr>
              <w:t>2014</w:t>
            </w:r>
          </w:p>
        </w:tc>
        <w:tc>
          <w:tcPr>
            <w:tcW w:w="954" w:type="pct"/>
            <w:tcBorders>
              <w:top w:val="single" w:sz="4" w:space="0" w:color="auto"/>
              <w:left w:val="nil"/>
              <w:bottom w:val="single" w:sz="4" w:space="0" w:color="auto"/>
              <w:right w:val="single" w:sz="4" w:space="0" w:color="auto"/>
            </w:tcBorders>
            <w:shd w:val="clear" w:color="auto" w:fill="auto"/>
            <w:noWrap/>
            <w:vAlign w:val="center"/>
          </w:tcPr>
          <w:p w14:paraId="056BD504" w14:textId="588BC730" w:rsidR="00793D69" w:rsidRPr="00793D69" w:rsidRDefault="00793D69" w:rsidP="00D73374">
            <w:pPr>
              <w:spacing w:line="276" w:lineRule="auto"/>
              <w:jc w:val="center"/>
              <w:rPr>
                <w:rFonts w:ascii="Arial" w:eastAsia="Times New Roman" w:hAnsi="Arial" w:cs="Arial"/>
                <w:b/>
                <w:bCs/>
                <w:color w:val="000000"/>
                <w:sz w:val="18"/>
                <w:szCs w:val="18"/>
                <w:lang w:eastAsia="en-GB"/>
              </w:rPr>
            </w:pPr>
            <w:r w:rsidRPr="00793D69">
              <w:rPr>
                <w:rFonts w:ascii="Arial" w:eastAsia="Times New Roman" w:hAnsi="Arial" w:cs="Arial"/>
                <w:b/>
                <w:bCs/>
                <w:color w:val="000000"/>
                <w:sz w:val="18"/>
                <w:szCs w:val="18"/>
                <w:lang w:eastAsia="en-GB"/>
              </w:rPr>
              <w:t>2019</w:t>
            </w:r>
          </w:p>
        </w:tc>
      </w:tr>
      <w:tr w:rsidR="00793D69" w:rsidRPr="00793D69" w14:paraId="31599F70" w14:textId="77777777" w:rsidTr="00477600">
        <w:trPr>
          <w:trHeight w:val="255"/>
        </w:trPr>
        <w:tc>
          <w:tcPr>
            <w:tcW w:w="1999" w:type="pct"/>
            <w:tcBorders>
              <w:top w:val="nil"/>
              <w:left w:val="single" w:sz="4" w:space="0" w:color="auto"/>
              <w:bottom w:val="single" w:sz="4" w:space="0" w:color="auto"/>
              <w:right w:val="single" w:sz="4" w:space="0" w:color="auto"/>
            </w:tcBorders>
            <w:shd w:val="clear" w:color="000000" w:fill="DDEBF7"/>
            <w:vAlign w:val="bottom"/>
            <w:hideMark/>
          </w:tcPr>
          <w:p w14:paraId="30F6381C" w14:textId="77777777" w:rsidR="00793D69" w:rsidRPr="00793D69" w:rsidRDefault="00793D69" w:rsidP="00D73374">
            <w:pPr>
              <w:spacing w:line="276" w:lineRule="auto"/>
              <w:rPr>
                <w:rFonts w:ascii="Arial" w:eastAsia="Times New Roman" w:hAnsi="Arial" w:cs="Arial"/>
                <w:b/>
                <w:bCs/>
                <w:color w:val="000000"/>
                <w:sz w:val="18"/>
                <w:szCs w:val="18"/>
                <w:lang w:eastAsia="en-GB"/>
              </w:rPr>
            </w:pPr>
            <w:r w:rsidRPr="00793D69">
              <w:rPr>
                <w:rFonts w:ascii="Arial" w:eastAsia="Times New Roman" w:hAnsi="Arial" w:cs="Arial"/>
                <w:b/>
                <w:bCs/>
                <w:color w:val="000000"/>
                <w:sz w:val="18"/>
                <w:szCs w:val="18"/>
                <w:lang w:eastAsia="en-GB"/>
              </w:rPr>
              <w:t>South Yorkshire</w:t>
            </w:r>
          </w:p>
        </w:tc>
        <w:tc>
          <w:tcPr>
            <w:tcW w:w="1059" w:type="pct"/>
            <w:tcBorders>
              <w:top w:val="nil"/>
              <w:left w:val="nil"/>
              <w:bottom w:val="single" w:sz="4" w:space="0" w:color="auto"/>
              <w:right w:val="single" w:sz="4" w:space="0" w:color="auto"/>
            </w:tcBorders>
            <w:shd w:val="clear" w:color="000000" w:fill="DDEBF7"/>
            <w:noWrap/>
            <w:vAlign w:val="bottom"/>
            <w:hideMark/>
          </w:tcPr>
          <w:p w14:paraId="70D34F41" w14:textId="77777777" w:rsidR="00793D69" w:rsidRPr="00793D69" w:rsidRDefault="00793D69" w:rsidP="00D73374">
            <w:pPr>
              <w:spacing w:line="276" w:lineRule="auto"/>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 </w:t>
            </w:r>
          </w:p>
        </w:tc>
        <w:tc>
          <w:tcPr>
            <w:tcW w:w="988" w:type="pct"/>
            <w:tcBorders>
              <w:top w:val="nil"/>
              <w:left w:val="nil"/>
              <w:bottom w:val="single" w:sz="4" w:space="0" w:color="auto"/>
              <w:right w:val="single" w:sz="4" w:space="0" w:color="auto"/>
            </w:tcBorders>
            <w:shd w:val="clear" w:color="000000" w:fill="DDEBF7"/>
            <w:noWrap/>
            <w:vAlign w:val="bottom"/>
            <w:hideMark/>
          </w:tcPr>
          <w:p w14:paraId="75945C95" w14:textId="77777777" w:rsidR="00793D69" w:rsidRPr="00793D69" w:rsidRDefault="00793D69" w:rsidP="00D73374">
            <w:pPr>
              <w:spacing w:line="276" w:lineRule="auto"/>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 </w:t>
            </w:r>
          </w:p>
        </w:tc>
        <w:tc>
          <w:tcPr>
            <w:tcW w:w="954" w:type="pct"/>
            <w:tcBorders>
              <w:top w:val="nil"/>
              <w:left w:val="nil"/>
              <w:bottom w:val="single" w:sz="4" w:space="0" w:color="auto"/>
              <w:right w:val="single" w:sz="4" w:space="0" w:color="auto"/>
            </w:tcBorders>
            <w:shd w:val="clear" w:color="000000" w:fill="DDEBF7"/>
            <w:noWrap/>
            <w:vAlign w:val="bottom"/>
          </w:tcPr>
          <w:p w14:paraId="57B0B697"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p>
        </w:tc>
      </w:tr>
      <w:tr w:rsidR="00793D69" w:rsidRPr="00793D69" w14:paraId="48608F60" w14:textId="77777777" w:rsidTr="00477600">
        <w:trPr>
          <w:trHeight w:val="291"/>
        </w:trPr>
        <w:tc>
          <w:tcPr>
            <w:tcW w:w="1999" w:type="pct"/>
            <w:tcBorders>
              <w:top w:val="nil"/>
              <w:left w:val="single" w:sz="4" w:space="0" w:color="auto"/>
              <w:bottom w:val="single" w:sz="4" w:space="0" w:color="auto"/>
              <w:right w:val="single" w:sz="4" w:space="0" w:color="auto"/>
            </w:tcBorders>
            <w:shd w:val="clear" w:color="auto" w:fill="auto"/>
            <w:vAlign w:val="bottom"/>
            <w:hideMark/>
          </w:tcPr>
          <w:p w14:paraId="56466AB2" w14:textId="77777777" w:rsidR="00793D69" w:rsidRPr="00793D69" w:rsidRDefault="00793D69" w:rsidP="00D73374">
            <w:pPr>
              <w:spacing w:line="276" w:lineRule="auto"/>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Doncaster</w:t>
            </w:r>
          </w:p>
        </w:tc>
        <w:tc>
          <w:tcPr>
            <w:tcW w:w="1059" w:type="pct"/>
            <w:tcBorders>
              <w:top w:val="nil"/>
              <w:left w:val="nil"/>
              <w:bottom w:val="single" w:sz="4" w:space="0" w:color="auto"/>
              <w:right w:val="single" w:sz="4" w:space="0" w:color="auto"/>
            </w:tcBorders>
            <w:shd w:val="clear" w:color="auto" w:fill="auto"/>
            <w:noWrap/>
            <w:vAlign w:val="bottom"/>
            <w:hideMark/>
          </w:tcPr>
          <w:p w14:paraId="667814CA"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309</w:t>
            </w:r>
          </w:p>
        </w:tc>
        <w:tc>
          <w:tcPr>
            <w:tcW w:w="988" w:type="pct"/>
            <w:tcBorders>
              <w:top w:val="nil"/>
              <w:left w:val="nil"/>
              <w:bottom w:val="single" w:sz="4" w:space="0" w:color="auto"/>
              <w:right w:val="single" w:sz="4" w:space="0" w:color="auto"/>
            </w:tcBorders>
            <w:shd w:val="clear" w:color="auto" w:fill="auto"/>
            <w:noWrap/>
            <w:vAlign w:val="bottom"/>
            <w:hideMark/>
          </w:tcPr>
          <w:p w14:paraId="27C27954"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933</w:t>
            </w:r>
          </w:p>
        </w:tc>
        <w:tc>
          <w:tcPr>
            <w:tcW w:w="954" w:type="pct"/>
            <w:tcBorders>
              <w:top w:val="nil"/>
              <w:left w:val="nil"/>
              <w:bottom w:val="single" w:sz="4" w:space="0" w:color="auto"/>
              <w:right w:val="single" w:sz="4" w:space="0" w:color="auto"/>
            </w:tcBorders>
            <w:shd w:val="clear" w:color="auto" w:fill="auto"/>
            <w:noWrap/>
            <w:vAlign w:val="bottom"/>
          </w:tcPr>
          <w:p w14:paraId="6AB54D3A"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FF0000"/>
                <w:sz w:val="18"/>
                <w:szCs w:val="18"/>
                <w:lang w:eastAsia="en-GB"/>
              </w:rPr>
              <w:t>1239*</w:t>
            </w:r>
          </w:p>
        </w:tc>
      </w:tr>
      <w:tr w:rsidR="00793D69" w:rsidRPr="00793D69" w14:paraId="56112C65" w14:textId="77777777" w:rsidTr="00477600">
        <w:trPr>
          <w:trHeight w:val="255"/>
        </w:trPr>
        <w:tc>
          <w:tcPr>
            <w:tcW w:w="1999" w:type="pct"/>
            <w:tcBorders>
              <w:top w:val="nil"/>
              <w:left w:val="single" w:sz="4" w:space="0" w:color="auto"/>
              <w:bottom w:val="single" w:sz="4" w:space="0" w:color="auto"/>
              <w:right w:val="single" w:sz="4" w:space="0" w:color="auto"/>
            </w:tcBorders>
            <w:shd w:val="clear" w:color="auto" w:fill="auto"/>
            <w:vAlign w:val="bottom"/>
            <w:hideMark/>
          </w:tcPr>
          <w:p w14:paraId="3B691F88" w14:textId="77777777" w:rsidR="00793D69" w:rsidRPr="00793D69" w:rsidRDefault="00793D69" w:rsidP="00D73374">
            <w:pPr>
              <w:spacing w:line="276" w:lineRule="auto"/>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Rotherham</w:t>
            </w:r>
          </w:p>
        </w:tc>
        <w:tc>
          <w:tcPr>
            <w:tcW w:w="1059" w:type="pct"/>
            <w:tcBorders>
              <w:top w:val="nil"/>
              <w:left w:val="nil"/>
              <w:bottom w:val="single" w:sz="4" w:space="0" w:color="auto"/>
              <w:right w:val="single" w:sz="4" w:space="0" w:color="auto"/>
            </w:tcBorders>
            <w:shd w:val="clear" w:color="auto" w:fill="auto"/>
            <w:noWrap/>
            <w:vAlign w:val="bottom"/>
            <w:hideMark/>
          </w:tcPr>
          <w:p w14:paraId="4AEB6D16"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416</w:t>
            </w:r>
          </w:p>
        </w:tc>
        <w:tc>
          <w:tcPr>
            <w:tcW w:w="988" w:type="pct"/>
            <w:tcBorders>
              <w:top w:val="nil"/>
              <w:left w:val="nil"/>
              <w:bottom w:val="single" w:sz="4" w:space="0" w:color="auto"/>
              <w:right w:val="single" w:sz="4" w:space="0" w:color="auto"/>
            </w:tcBorders>
            <w:shd w:val="clear" w:color="auto" w:fill="auto"/>
            <w:noWrap/>
            <w:vAlign w:val="bottom"/>
            <w:hideMark/>
          </w:tcPr>
          <w:p w14:paraId="44C4C62D"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633</w:t>
            </w:r>
          </w:p>
        </w:tc>
        <w:tc>
          <w:tcPr>
            <w:tcW w:w="954" w:type="pct"/>
            <w:tcBorders>
              <w:top w:val="nil"/>
              <w:left w:val="nil"/>
              <w:bottom w:val="single" w:sz="4" w:space="0" w:color="auto"/>
              <w:right w:val="single" w:sz="4" w:space="0" w:color="auto"/>
            </w:tcBorders>
            <w:shd w:val="clear" w:color="auto" w:fill="auto"/>
            <w:noWrap/>
            <w:vAlign w:val="bottom"/>
          </w:tcPr>
          <w:p w14:paraId="4BF37660" w14:textId="77777777" w:rsidR="00793D69" w:rsidRPr="00793D69" w:rsidRDefault="00793D69" w:rsidP="00D73374">
            <w:pPr>
              <w:spacing w:line="276" w:lineRule="auto"/>
              <w:jc w:val="right"/>
              <w:rPr>
                <w:rFonts w:ascii="Arial" w:eastAsia="Times New Roman" w:hAnsi="Arial" w:cs="Arial"/>
                <w:color w:val="FF0000"/>
                <w:sz w:val="18"/>
                <w:szCs w:val="18"/>
                <w:lang w:eastAsia="en-GB"/>
              </w:rPr>
            </w:pPr>
            <w:r w:rsidRPr="00793D69">
              <w:rPr>
                <w:rFonts w:ascii="Arial" w:eastAsia="Times New Roman" w:hAnsi="Arial" w:cs="Arial"/>
                <w:color w:val="FF0000"/>
                <w:sz w:val="18"/>
                <w:szCs w:val="18"/>
                <w:lang w:eastAsia="en-GB"/>
              </w:rPr>
              <w:t>490</w:t>
            </w:r>
          </w:p>
        </w:tc>
      </w:tr>
      <w:tr w:rsidR="00793D69" w:rsidRPr="00793D69" w14:paraId="66BE2C3B" w14:textId="77777777" w:rsidTr="00477600">
        <w:trPr>
          <w:trHeight w:val="255"/>
        </w:trPr>
        <w:tc>
          <w:tcPr>
            <w:tcW w:w="1999" w:type="pct"/>
            <w:tcBorders>
              <w:top w:val="nil"/>
              <w:left w:val="single" w:sz="4" w:space="0" w:color="auto"/>
              <w:bottom w:val="single" w:sz="4" w:space="0" w:color="auto"/>
              <w:right w:val="single" w:sz="4" w:space="0" w:color="auto"/>
            </w:tcBorders>
            <w:shd w:val="clear" w:color="auto" w:fill="auto"/>
            <w:vAlign w:val="bottom"/>
            <w:hideMark/>
          </w:tcPr>
          <w:p w14:paraId="6BE111A1" w14:textId="77777777" w:rsidR="00793D69" w:rsidRPr="00793D69" w:rsidRDefault="00793D69" w:rsidP="00D73374">
            <w:pPr>
              <w:spacing w:line="276" w:lineRule="auto"/>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Barnsley</w:t>
            </w:r>
          </w:p>
        </w:tc>
        <w:tc>
          <w:tcPr>
            <w:tcW w:w="1059" w:type="pct"/>
            <w:tcBorders>
              <w:top w:val="nil"/>
              <w:left w:val="nil"/>
              <w:bottom w:val="single" w:sz="4" w:space="0" w:color="auto"/>
              <w:right w:val="single" w:sz="4" w:space="0" w:color="auto"/>
            </w:tcBorders>
            <w:shd w:val="clear" w:color="auto" w:fill="auto"/>
            <w:noWrap/>
            <w:hideMark/>
          </w:tcPr>
          <w:p w14:paraId="346E3FC1"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793</w:t>
            </w:r>
          </w:p>
        </w:tc>
        <w:tc>
          <w:tcPr>
            <w:tcW w:w="988" w:type="pct"/>
            <w:tcBorders>
              <w:top w:val="nil"/>
              <w:left w:val="nil"/>
              <w:bottom w:val="single" w:sz="4" w:space="0" w:color="auto"/>
              <w:right w:val="single" w:sz="4" w:space="0" w:color="auto"/>
            </w:tcBorders>
            <w:shd w:val="clear" w:color="auto" w:fill="auto"/>
            <w:noWrap/>
            <w:hideMark/>
          </w:tcPr>
          <w:p w14:paraId="0490A91B"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644</w:t>
            </w:r>
          </w:p>
        </w:tc>
        <w:tc>
          <w:tcPr>
            <w:tcW w:w="954" w:type="pct"/>
            <w:tcBorders>
              <w:top w:val="nil"/>
              <w:left w:val="nil"/>
              <w:bottom w:val="single" w:sz="4" w:space="0" w:color="auto"/>
              <w:right w:val="single" w:sz="4" w:space="0" w:color="auto"/>
            </w:tcBorders>
            <w:shd w:val="clear" w:color="auto" w:fill="auto"/>
            <w:noWrap/>
          </w:tcPr>
          <w:p w14:paraId="3CB42A0E"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1075</w:t>
            </w:r>
          </w:p>
        </w:tc>
      </w:tr>
      <w:tr w:rsidR="00793D69" w:rsidRPr="00793D69" w14:paraId="0210AF46" w14:textId="77777777" w:rsidTr="00477600">
        <w:trPr>
          <w:trHeight w:val="255"/>
        </w:trPr>
        <w:tc>
          <w:tcPr>
            <w:tcW w:w="1999" w:type="pct"/>
            <w:tcBorders>
              <w:top w:val="nil"/>
              <w:left w:val="single" w:sz="4" w:space="0" w:color="auto"/>
              <w:bottom w:val="single" w:sz="4" w:space="0" w:color="auto"/>
              <w:right w:val="single" w:sz="4" w:space="0" w:color="auto"/>
            </w:tcBorders>
            <w:shd w:val="clear" w:color="auto" w:fill="auto"/>
            <w:vAlign w:val="bottom"/>
            <w:hideMark/>
          </w:tcPr>
          <w:p w14:paraId="28B3C8C6" w14:textId="77777777" w:rsidR="00793D69" w:rsidRPr="00793D69" w:rsidRDefault="00793D69" w:rsidP="00D73374">
            <w:pPr>
              <w:spacing w:line="276" w:lineRule="auto"/>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Sheffield</w:t>
            </w:r>
          </w:p>
        </w:tc>
        <w:tc>
          <w:tcPr>
            <w:tcW w:w="1059" w:type="pct"/>
            <w:tcBorders>
              <w:top w:val="nil"/>
              <w:left w:val="nil"/>
              <w:bottom w:val="single" w:sz="4" w:space="0" w:color="auto"/>
              <w:right w:val="single" w:sz="4" w:space="0" w:color="auto"/>
            </w:tcBorders>
            <w:shd w:val="clear" w:color="auto" w:fill="auto"/>
            <w:noWrap/>
            <w:vAlign w:val="center"/>
            <w:hideMark/>
          </w:tcPr>
          <w:p w14:paraId="142A18A4"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2,073</w:t>
            </w:r>
          </w:p>
        </w:tc>
        <w:tc>
          <w:tcPr>
            <w:tcW w:w="988" w:type="pct"/>
            <w:tcBorders>
              <w:top w:val="nil"/>
              <w:left w:val="nil"/>
              <w:bottom w:val="single" w:sz="4" w:space="0" w:color="auto"/>
              <w:right w:val="single" w:sz="4" w:space="0" w:color="auto"/>
            </w:tcBorders>
            <w:shd w:val="clear" w:color="auto" w:fill="auto"/>
            <w:noWrap/>
            <w:vAlign w:val="center"/>
            <w:hideMark/>
          </w:tcPr>
          <w:p w14:paraId="2E0014B6"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1,812</w:t>
            </w:r>
          </w:p>
        </w:tc>
        <w:tc>
          <w:tcPr>
            <w:tcW w:w="954" w:type="pct"/>
            <w:tcBorders>
              <w:top w:val="nil"/>
              <w:left w:val="nil"/>
              <w:bottom w:val="single" w:sz="4" w:space="0" w:color="auto"/>
              <w:right w:val="single" w:sz="4" w:space="0" w:color="auto"/>
            </w:tcBorders>
            <w:shd w:val="clear" w:color="auto" w:fill="auto"/>
            <w:noWrap/>
            <w:vAlign w:val="center"/>
          </w:tcPr>
          <w:p w14:paraId="54274862"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FF0000"/>
                <w:sz w:val="18"/>
                <w:szCs w:val="18"/>
                <w:lang w:eastAsia="en-GB"/>
              </w:rPr>
              <w:t>2,550</w:t>
            </w:r>
          </w:p>
        </w:tc>
      </w:tr>
      <w:tr w:rsidR="00793D69" w:rsidRPr="00793D69" w14:paraId="5FC89EC3" w14:textId="77777777" w:rsidTr="00477600">
        <w:trPr>
          <w:trHeight w:val="480"/>
        </w:trPr>
        <w:tc>
          <w:tcPr>
            <w:tcW w:w="1999" w:type="pct"/>
            <w:tcBorders>
              <w:top w:val="nil"/>
              <w:left w:val="single" w:sz="4" w:space="0" w:color="auto"/>
              <w:bottom w:val="single" w:sz="4" w:space="0" w:color="auto"/>
              <w:right w:val="single" w:sz="4" w:space="0" w:color="auto"/>
            </w:tcBorders>
            <w:shd w:val="clear" w:color="auto" w:fill="auto"/>
            <w:vAlign w:val="center"/>
            <w:hideMark/>
          </w:tcPr>
          <w:p w14:paraId="5520B179" w14:textId="77777777" w:rsidR="00793D69" w:rsidRPr="00793D69" w:rsidRDefault="00793D69" w:rsidP="00D73374">
            <w:pPr>
              <w:spacing w:line="276" w:lineRule="auto"/>
              <w:rPr>
                <w:rFonts w:ascii="Arial" w:eastAsia="Times New Roman" w:hAnsi="Arial" w:cs="Arial"/>
                <w:b/>
                <w:bCs/>
                <w:color w:val="000000"/>
                <w:sz w:val="18"/>
                <w:szCs w:val="18"/>
                <w:lang w:eastAsia="en-GB"/>
              </w:rPr>
            </w:pPr>
            <w:r w:rsidRPr="00793D69">
              <w:rPr>
                <w:rFonts w:ascii="Arial" w:eastAsia="Times New Roman" w:hAnsi="Arial" w:cs="Arial"/>
                <w:b/>
                <w:bCs/>
                <w:color w:val="000000"/>
                <w:sz w:val="18"/>
                <w:szCs w:val="18"/>
                <w:lang w:eastAsia="en-GB"/>
              </w:rPr>
              <w:t>Total dwellings</w:t>
            </w:r>
          </w:p>
        </w:tc>
        <w:tc>
          <w:tcPr>
            <w:tcW w:w="1059" w:type="pct"/>
            <w:tcBorders>
              <w:top w:val="nil"/>
              <w:left w:val="nil"/>
              <w:bottom w:val="single" w:sz="4" w:space="0" w:color="auto"/>
              <w:right w:val="single" w:sz="4" w:space="0" w:color="auto"/>
            </w:tcBorders>
            <w:shd w:val="clear" w:color="auto" w:fill="auto"/>
            <w:noWrap/>
            <w:vAlign w:val="center"/>
            <w:hideMark/>
          </w:tcPr>
          <w:p w14:paraId="62454CC5" w14:textId="77777777" w:rsidR="00793D69" w:rsidRPr="00793D69" w:rsidRDefault="00793D69" w:rsidP="00D73374">
            <w:pPr>
              <w:spacing w:line="276" w:lineRule="auto"/>
              <w:jc w:val="right"/>
              <w:rPr>
                <w:rFonts w:ascii="Arial" w:eastAsia="Times New Roman" w:hAnsi="Arial" w:cs="Arial"/>
                <w:b/>
                <w:color w:val="000000"/>
                <w:sz w:val="18"/>
                <w:szCs w:val="18"/>
                <w:lang w:eastAsia="en-GB"/>
              </w:rPr>
            </w:pPr>
            <w:r w:rsidRPr="00793D69">
              <w:rPr>
                <w:rFonts w:ascii="Arial" w:eastAsia="Times New Roman" w:hAnsi="Arial" w:cs="Arial"/>
                <w:b/>
                <w:color w:val="000000"/>
                <w:sz w:val="18"/>
                <w:szCs w:val="18"/>
                <w:lang w:eastAsia="en-GB"/>
              </w:rPr>
              <w:t>3,591</w:t>
            </w:r>
          </w:p>
        </w:tc>
        <w:tc>
          <w:tcPr>
            <w:tcW w:w="988" w:type="pct"/>
            <w:tcBorders>
              <w:top w:val="nil"/>
              <w:left w:val="nil"/>
              <w:bottom w:val="single" w:sz="4" w:space="0" w:color="auto"/>
              <w:right w:val="single" w:sz="4" w:space="0" w:color="auto"/>
            </w:tcBorders>
            <w:shd w:val="clear" w:color="auto" w:fill="auto"/>
            <w:noWrap/>
            <w:vAlign w:val="center"/>
            <w:hideMark/>
          </w:tcPr>
          <w:p w14:paraId="179EFBEF" w14:textId="77777777" w:rsidR="00793D69" w:rsidRPr="00793D69" w:rsidRDefault="00793D69" w:rsidP="00D73374">
            <w:pPr>
              <w:spacing w:line="276" w:lineRule="auto"/>
              <w:jc w:val="right"/>
              <w:rPr>
                <w:rFonts w:ascii="Arial" w:eastAsia="Times New Roman" w:hAnsi="Arial" w:cs="Arial"/>
                <w:b/>
                <w:color w:val="000000"/>
                <w:sz w:val="18"/>
                <w:szCs w:val="18"/>
                <w:lang w:eastAsia="en-GB"/>
              </w:rPr>
            </w:pPr>
            <w:r w:rsidRPr="00793D69">
              <w:rPr>
                <w:rFonts w:ascii="Arial" w:eastAsia="Times New Roman" w:hAnsi="Arial" w:cs="Arial"/>
                <w:b/>
                <w:color w:val="000000"/>
                <w:sz w:val="18"/>
                <w:szCs w:val="18"/>
                <w:lang w:eastAsia="en-GB"/>
              </w:rPr>
              <w:t>4,022</w:t>
            </w:r>
          </w:p>
        </w:tc>
        <w:tc>
          <w:tcPr>
            <w:tcW w:w="954" w:type="pct"/>
            <w:tcBorders>
              <w:top w:val="nil"/>
              <w:left w:val="nil"/>
              <w:bottom w:val="single" w:sz="4" w:space="0" w:color="auto"/>
              <w:right w:val="single" w:sz="4" w:space="0" w:color="auto"/>
            </w:tcBorders>
            <w:shd w:val="clear" w:color="auto" w:fill="auto"/>
            <w:noWrap/>
            <w:vAlign w:val="center"/>
          </w:tcPr>
          <w:p w14:paraId="4933B58C" w14:textId="77777777" w:rsidR="00793D69" w:rsidRPr="00793D69" w:rsidRDefault="00793D69" w:rsidP="00D73374">
            <w:pPr>
              <w:spacing w:line="276" w:lineRule="auto"/>
              <w:jc w:val="right"/>
              <w:rPr>
                <w:rFonts w:ascii="Arial" w:eastAsia="Times New Roman" w:hAnsi="Arial" w:cs="Arial"/>
                <w:b/>
                <w:color w:val="000000"/>
                <w:sz w:val="18"/>
                <w:szCs w:val="18"/>
                <w:lang w:eastAsia="en-GB"/>
              </w:rPr>
            </w:pPr>
            <w:r w:rsidRPr="00793D69">
              <w:rPr>
                <w:rFonts w:ascii="Arial" w:eastAsia="Times New Roman" w:hAnsi="Arial" w:cs="Arial"/>
                <w:b/>
                <w:color w:val="000000"/>
                <w:sz w:val="18"/>
                <w:szCs w:val="18"/>
                <w:lang w:eastAsia="en-GB"/>
              </w:rPr>
              <w:t>5,286</w:t>
            </w:r>
          </w:p>
        </w:tc>
      </w:tr>
      <w:tr w:rsidR="00793D69" w:rsidRPr="00793D69" w14:paraId="43007F45" w14:textId="77777777" w:rsidTr="00477600">
        <w:trPr>
          <w:trHeight w:val="255"/>
        </w:trPr>
        <w:tc>
          <w:tcPr>
            <w:tcW w:w="1999" w:type="pct"/>
            <w:tcBorders>
              <w:top w:val="single" w:sz="4" w:space="0" w:color="auto"/>
              <w:left w:val="single" w:sz="4" w:space="0" w:color="auto"/>
              <w:bottom w:val="single" w:sz="4" w:space="0" w:color="auto"/>
              <w:right w:val="single" w:sz="4" w:space="0" w:color="auto"/>
            </w:tcBorders>
            <w:shd w:val="clear" w:color="000000" w:fill="EAEAEA"/>
            <w:vAlign w:val="center"/>
          </w:tcPr>
          <w:p w14:paraId="2E7F960D" w14:textId="77777777" w:rsidR="00793D69" w:rsidRPr="00793D69" w:rsidRDefault="00793D69" w:rsidP="00D73374">
            <w:pPr>
              <w:spacing w:line="276" w:lineRule="auto"/>
              <w:rPr>
                <w:rFonts w:ascii="Arial" w:eastAsia="Times New Roman" w:hAnsi="Arial" w:cs="Arial"/>
                <w:color w:val="000000"/>
                <w:sz w:val="18"/>
                <w:szCs w:val="18"/>
                <w:lang w:eastAsia="en-GB"/>
              </w:rPr>
            </w:pPr>
            <w:r w:rsidRPr="00793D69">
              <w:rPr>
                <w:rFonts w:ascii="Arial" w:eastAsia="Calibri" w:hAnsi="Arial" w:cs="Arial"/>
                <w:color w:val="808080"/>
                <w:sz w:val="18"/>
                <w:szCs w:val="18"/>
              </w:rPr>
              <w:t>25% of total consumption for housing development</w:t>
            </w:r>
          </w:p>
        </w:tc>
        <w:tc>
          <w:tcPr>
            <w:tcW w:w="1059" w:type="pct"/>
            <w:tcBorders>
              <w:top w:val="single" w:sz="4" w:space="0" w:color="auto"/>
              <w:left w:val="nil"/>
              <w:bottom w:val="single" w:sz="4" w:space="0" w:color="auto"/>
              <w:right w:val="single" w:sz="4" w:space="0" w:color="auto"/>
            </w:tcBorders>
            <w:shd w:val="clear" w:color="000000" w:fill="EAEAEA"/>
            <w:noWrap/>
            <w:vAlign w:val="center"/>
          </w:tcPr>
          <w:p w14:paraId="6FAC4A2F"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Calibri" w:hAnsi="Arial" w:cs="Arial"/>
                <w:color w:val="808080"/>
                <w:sz w:val="18"/>
                <w:szCs w:val="18"/>
              </w:rPr>
              <w:t>706,250</w:t>
            </w:r>
          </w:p>
        </w:tc>
        <w:tc>
          <w:tcPr>
            <w:tcW w:w="988" w:type="pct"/>
            <w:tcBorders>
              <w:top w:val="single" w:sz="4" w:space="0" w:color="auto"/>
              <w:left w:val="nil"/>
              <w:bottom w:val="single" w:sz="4" w:space="0" w:color="auto"/>
              <w:right w:val="single" w:sz="4" w:space="0" w:color="auto"/>
            </w:tcBorders>
            <w:shd w:val="clear" w:color="000000" w:fill="EAEAEA"/>
            <w:noWrap/>
            <w:vAlign w:val="center"/>
          </w:tcPr>
          <w:p w14:paraId="3FA6E8A2"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Calibri" w:hAnsi="Arial" w:cs="Arial"/>
                <w:color w:val="808080"/>
                <w:sz w:val="18"/>
                <w:szCs w:val="18"/>
              </w:rPr>
              <w:t>721,000</w:t>
            </w:r>
          </w:p>
        </w:tc>
        <w:tc>
          <w:tcPr>
            <w:tcW w:w="954" w:type="pct"/>
            <w:tcBorders>
              <w:top w:val="single" w:sz="4" w:space="0" w:color="auto"/>
              <w:left w:val="nil"/>
              <w:bottom w:val="single" w:sz="4" w:space="0" w:color="auto"/>
              <w:right w:val="single" w:sz="4" w:space="0" w:color="auto"/>
            </w:tcBorders>
            <w:shd w:val="clear" w:color="000000" w:fill="EAEAEA"/>
            <w:noWrap/>
            <w:vAlign w:val="center"/>
          </w:tcPr>
          <w:p w14:paraId="01375690"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Calibri" w:hAnsi="Arial" w:cs="Arial"/>
                <w:color w:val="808080"/>
                <w:sz w:val="18"/>
                <w:szCs w:val="18"/>
              </w:rPr>
              <w:t>831,000</w:t>
            </w:r>
          </w:p>
        </w:tc>
      </w:tr>
      <w:tr w:rsidR="00793D69" w:rsidRPr="00793D69" w14:paraId="5E3F5B2D" w14:textId="77777777" w:rsidTr="00477600">
        <w:trPr>
          <w:trHeight w:val="480"/>
        </w:trPr>
        <w:tc>
          <w:tcPr>
            <w:tcW w:w="1999" w:type="pct"/>
            <w:tcBorders>
              <w:top w:val="nil"/>
              <w:left w:val="single" w:sz="4" w:space="0" w:color="auto"/>
              <w:bottom w:val="single" w:sz="4" w:space="0" w:color="auto"/>
              <w:right w:val="single" w:sz="4" w:space="0" w:color="auto"/>
            </w:tcBorders>
            <w:shd w:val="clear" w:color="000000" w:fill="FFF2CC"/>
            <w:vAlign w:val="bottom"/>
            <w:hideMark/>
          </w:tcPr>
          <w:p w14:paraId="051F5350" w14:textId="77777777" w:rsidR="00793D69" w:rsidRPr="00793D69" w:rsidRDefault="00793D69" w:rsidP="00D73374">
            <w:pPr>
              <w:spacing w:line="276" w:lineRule="auto"/>
              <w:rPr>
                <w:rFonts w:ascii="Arial" w:eastAsia="Times New Roman" w:hAnsi="Arial" w:cs="Arial"/>
                <w:sz w:val="18"/>
                <w:szCs w:val="18"/>
                <w:lang w:eastAsia="en-GB"/>
              </w:rPr>
            </w:pPr>
            <w:r w:rsidRPr="00793D69">
              <w:rPr>
                <w:rFonts w:ascii="Arial" w:eastAsia="Times New Roman" w:hAnsi="Arial" w:cs="Arial"/>
                <w:sz w:val="18"/>
                <w:szCs w:val="18"/>
                <w:lang w:eastAsia="en-GB"/>
              </w:rPr>
              <w:t>Sand and Gravel consumed in South Yorkshire (tonnes)</w:t>
            </w:r>
          </w:p>
        </w:tc>
        <w:tc>
          <w:tcPr>
            <w:tcW w:w="1059" w:type="pct"/>
            <w:tcBorders>
              <w:top w:val="nil"/>
              <w:left w:val="nil"/>
              <w:bottom w:val="single" w:sz="4" w:space="0" w:color="auto"/>
              <w:right w:val="single" w:sz="4" w:space="0" w:color="auto"/>
            </w:tcBorders>
            <w:shd w:val="clear" w:color="000000" w:fill="FFF2CC"/>
            <w:noWrap/>
            <w:vAlign w:val="bottom"/>
            <w:hideMark/>
          </w:tcPr>
          <w:p w14:paraId="1DCBC974" w14:textId="77777777" w:rsidR="00793D69" w:rsidRPr="00793D69" w:rsidRDefault="00793D69" w:rsidP="00D73374">
            <w:pPr>
              <w:spacing w:line="276" w:lineRule="auto"/>
              <w:jc w:val="right"/>
              <w:rPr>
                <w:rFonts w:ascii="Arial" w:eastAsia="Times New Roman" w:hAnsi="Arial" w:cs="Arial"/>
                <w:sz w:val="18"/>
                <w:szCs w:val="18"/>
                <w:lang w:eastAsia="en-GB"/>
              </w:rPr>
            </w:pPr>
            <w:r w:rsidRPr="00793D69">
              <w:rPr>
                <w:rFonts w:ascii="Arial" w:eastAsia="Times New Roman" w:hAnsi="Arial" w:cs="Arial"/>
                <w:sz w:val="18"/>
                <w:szCs w:val="18"/>
                <w:lang w:eastAsia="en-GB"/>
              </w:rPr>
              <w:t>719,000</w:t>
            </w:r>
          </w:p>
        </w:tc>
        <w:tc>
          <w:tcPr>
            <w:tcW w:w="988" w:type="pct"/>
            <w:tcBorders>
              <w:top w:val="nil"/>
              <w:left w:val="nil"/>
              <w:bottom w:val="single" w:sz="4" w:space="0" w:color="auto"/>
              <w:right w:val="single" w:sz="4" w:space="0" w:color="auto"/>
            </w:tcBorders>
            <w:shd w:val="clear" w:color="000000" w:fill="FFF2CC"/>
            <w:noWrap/>
            <w:vAlign w:val="bottom"/>
            <w:hideMark/>
          </w:tcPr>
          <w:p w14:paraId="2DFC331F" w14:textId="77777777" w:rsidR="00793D69" w:rsidRPr="00793D69" w:rsidRDefault="00793D69" w:rsidP="00D73374">
            <w:pPr>
              <w:spacing w:line="276" w:lineRule="auto"/>
              <w:jc w:val="right"/>
              <w:rPr>
                <w:rFonts w:ascii="Arial" w:eastAsia="Times New Roman" w:hAnsi="Arial" w:cs="Arial"/>
                <w:sz w:val="18"/>
                <w:szCs w:val="18"/>
                <w:lang w:eastAsia="en-GB"/>
              </w:rPr>
            </w:pPr>
            <w:r w:rsidRPr="00793D69">
              <w:rPr>
                <w:rFonts w:ascii="Arial" w:eastAsia="Times New Roman" w:hAnsi="Arial" w:cs="Arial"/>
                <w:sz w:val="18"/>
                <w:szCs w:val="18"/>
                <w:lang w:eastAsia="en-GB"/>
              </w:rPr>
              <w:t>760,000</w:t>
            </w:r>
          </w:p>
        </w:tc>
        <w:tc>
          <w:tcPr>
            <w:tcW w:w="954" w:type="pct"/>
            <w:tcBorders>
              <w:top w:val="nil"/>
              <w:left w:val="nil"/>
              <w:bottom w:val="single" w:sz="4" w:space="0" w:color="auto"/>
              <w:right w:val="single" w:sz="4" w:space="0" w:color="auto"/>
            </w:tcBorders>
            <w:shd w:val="clear" w:color="000000" w:fill="FFF2CC"/>
            <w:noWrap/>
            <w:vAlign w:val="bottom"/>
          </w:tcPr>
          <w:p w14:paraId="3F41E6C8" w14:textId="77777777" w:rsidR="00793D69" w:rsidRPr="00793D69" w:rsidRDefault="00793D69" w:rsidP="00D73374">
            <w:pPr>
              <w:spacing w:line="276" w:lineRule="auto"/>
              <w:jc w:val="right"/>
              <w:rPr>
                <w:rFonts w:ascii="Arial" w:eastAsia="Times New Roman" w:hAnsi="Arial" w:cs="Arial"/>
                <w:sz w:val="18"/>
                <w:szCs w:val="18"/>
                <w:lang w:eastAsia="en-GB"/>
              </w:rPr>
            </w:pPr>
            <w:r w:rsidRPr="00793D69">
              <w:rPr>
                <w:rFonts w:ascii="Arial" w:eastAsia="Times New Roman" w:hAnsi="Arial" w:cs="Arial"/>
                <w:sz w:val="18"/>
                <w:szCs w:val="18"/>
                <w:lang w:eastAsia="en-GB"/>
              </w:rPr>
              <w:t>454,000</w:t>
            </w:r>
          </w:p>
        </w:tc>
      </w:tr>
      <w:tr w:rsidR="00793D69" w:rsidRPr="00793D69" w14:paraId="69DB0038" w14:textId="77777777" w:rsidTr="00477600">
        <w:trPr>
          <w:trHeight w:val="480"/>
        </w:trPr>
        <w:tc>
          <w:tcPr>
            <w:tcW w:w="1999" w:type="pct"/>
            <w:tcBorders>
              <w:top w:val="nil"/>
              <w:left w:val="single" w:sz="4" w:space="0" w:color="auto"/>
              <w:bottom w:val="single" w:sz="4" w:space="0" w:color="auto"/>
              <w:right w:val="single" w:sz="4" w:space="0" w:color="auto"/>
            </w:tcBorders>
            <w:shd w:val="clear" w:color="000000" w:fill="FFF2CC"/>
            <w:vAlign w:val="bottom"/>
            <w:hideMark/>
          </w:tcPr>
          <w:p w14:paraId="3F99A2FE" w14:textId="77777777" w:rsidR="00793D69" w:rsidRPr="00793D69" w:rsidRDefault="00793D69" w:rsidP="00D73374">
            <w:pPr>
              <w:spacing w:line="276" w:lineRule="auto"/>
              <w:rPr>
                <w:rFonts w:ascii="Arial" w:eastAsia="Times New Roman" w:hAnsi="Arial" w:cs="Arial"/>
                <w:sz w:val="18"/>
                <w:szCs w:val="18"/>
                <w:lang w:eastAsia="en-GB"/>
              </w:rPr>
            </w:pPr>
            <w:r w:rsidRPr="00793D69">
              <w:rPr>
                <w:rFonts w:ascii="Arial" w:eastAsia="Times New Roman" w:hAnsi="Arial" w:cs="Arial"/>
                <w:sz w:val="18"/>
                <w:szCs w:val="18"/>
                <w:lang w:eastAsia="en-GB"/>
              </w:rPr>
              <w:t>Crushed Rock consumed in South Yorkshire (tonnes)</w:t>
            </w:r>
          </w:p>
        </w:tc>
        <w:tc>
          <w:tcPr>
            <w:tcW w:w="1059" w:type="pct"/>
            <w:tcBorders>
              <w:top w:val="nil"/>
              <w:left w:val="nil"/>
              <w:bottom w:val="single" w:sz="4" w:space="0" w:color="auto"/>
              <w:right w:val="single" w:sz="4" w:space="0" w:color="auto"/>
            </w:tcBorders>
            <w:shd w:val="clear" w:color="000000" w:fill="FFF2CC"/>
            <w:noWrap/>
            <w:vAlign w:val="bottom"/>
            <w:hideMark/>
          </w:tcPr>
          <w:p w14:paraId="040EB55B" w14:textId="77777777" w:rsidR="00793D69" w:rsidRPr="00793D69" w:rsidRDefault="00793D69" w:rsidP="00D73374">
            <w:pPr>
              <w:spacing w:line="276" w:lineRule="auto"/>
              <w:jc w:val="right"/>
              <w:rPr>
                <w:rFonts w:ascii="Arial" w:eastAsia="Times New Roman" w:hAnsi="Arial" w:cs="Arial"/>
                <w:sz w:val="18"/>
                <w:szCs w:val="18"/>
                <w:lang w:eastAsia="en-GB"/>
              </w:rPr>
            </w:pPr>
            <w:r w:rsidRPr="00793D69">
              <w:rPr>
                <w:rFonts w:ascii="Arial" w:eastAsia="Times New Roman" w:hAnsi="Arial" w:cs="Arial"/>
                <w:sz w:val="18"/>
                <w:szCs w:val="18"/>
                <w:lang w:eastAsia="en-GB"/>
              </w:rPr>
              <w:t>2,106,000</w:t>
            </w:r>
          </w:p>
        </w:tc>
        <w:tc>
          <w:tcPr>
            <w:tcW w:w="988" w:type="pct"/>
            <w:tcBorders>
              <w:top w:val="nil"/>
              <w:left w:val="nil"/>
              <w:bottom w:val="single" w:sz="4" w:space="0" w:color="auto"/>
              <w:right w:val="single" w:sz="4" w:space="0" w:color="auto"/>
            </w:tcBorders>
            <w:shd w:val="clear" w:color="000000" w:fill="FFF2CC"/>
            <w:noWrap/>
            <w:vAlign w:val="bottom"/>
            <w:hideMark/>
          </w:tcPr>
          <w:p w14:paraId="435017AF" w14:textId="77777777" w:rsidR="00793D69" w:rsidRPr="00793D69" w:rsidRDefault="00793D69" w:rsidP="00D73374">
            <w:pPr>
              <w:spacing w:line="276" w:lineRule="auto"/>
              <w:jc w:val="right"/>
              <w:rPr>
                <w:rFonts w:ascii="Arial" w:eastAsia="Times New Roman" w:hAnsi="Arial" w:cs="Arial"/>
                <w:sz w:val="18"/>
                <w:szCs w:val="18"/>
                <w:lang w:eastAsia="en-GB"/>
              </w:rPr>
            </w:pPr>
            <w:r w:rsidRPr="00793D69">
              <w:rPr>
                <w:rFonts w:ascii="Arial" w:eastAsia="Times New Roman" w:hAnsi="Arial" w:cs="Arial"/>
                <w:sz w:val="18"/>
                <w:szCs w:val="18"/>
                <w:lang w:eastAsia="en-GB"/>
              </w:rPr>
              <w:t>2,124,000</w:t>
            </w:r>
          </w:p>
        </w:tc>
        <w:tc>
          <w:tcPr>
            <w:tcW w:w="954" w:type="pct"/>
            <w:tcBorders>
              <w:top w:val="nil"/>
              <w:left w:val="nil"/>
              <w:bottom w:val="single" w:sz="4" w:space="0" w:color="auto"/>
              <w:right w:val="single" w:sz="4" w:space="0" w:color="auto"/>
            </w:tcBorders>
            <w:shd w:val="clear" w:color="000000" w:fill="FFF2CC"/>
            <w:noWrap/>
            <w:vAlign w:val="bottom"/>
          </w:tcPr>
          <w:p w14:paraId="72A9742E" w14:textId="77777777" w:rsidR="00793D69" w:rsidRPr="00793D69" w:rsidRDefault="00793D69" w:rsidP="00D73374">
            <w:pPr>
              <w:spacing w:line="276" w:lineRule="auto"/>
              <w:jc w:val="right"/>
              <w:rPr>
                <w:rFonts w:ascii="Arial" w:eastAsia="Times New Roman" w:hAnsi="Arial" w:cs="Arial"/>
                <w:sz w:val="18"/>
                <w:szCs w:val="18"/>
                <w:lang w:eastAsia="en-GB"/>
              </w:rPr>
            </w:pPr>
            <w:r w:rsidRPr="00793D69">
              <w:rPr>
                <w:rFonts w:ascii="Arial" w:eastAsia="Times New Roman" w:hAnsi="Arial" w:cs="Arial"/>
                <w:sz w:val="18"/>
                <w:szCs w:val="18"/>
                <w:lang w:eastAsia="en-GB"/>
              </w:rPr>
              <w:t>2.870,000</w:t>
            </w:r>
          </w:p>
        </w:tc>
      </w:tr>
      <w:tr w:rsidR="00793D69" w:rsidRPr="00793D69" w14:paraId="690593DB" w14:textId="77777777" w:rsidTr="00477600">
        <w:trPr>
          <w:trHeight w:val="255"/>
        </w:trPr>
        <w:tc>
          <w:tcPr>
            <w:tcW w:w="1999" w:type="pct"/>
            <w:tcBorders>
              <w:top w:val="nil"/>
              <w:left w:val="single" w:sz="4" w:space="0" w:color="auto"/>
              <w:bottom w:val="single" w:sz="4" w:space="0" w:color="auto"/>
              <w:right w:val="single" w:sz="4" w:space="0" w:color="auto"/>
            </w:tcBorders>
            <w:shd w:val="clear" w:color="000000" w:fill="FFF2CC"/>
            <w:vAlign w:val="bottom"/>
            <w:hideMark/>
          </w:tcPr>
          <w:p w14:paraId="11A459C2" w14:textId="77777777" w:rsidR="00793D69" w:rsidRPr="00793D69" w:rsidRDefault="00793D69" w:rsidP="00D73374">
            <w:pPr>
              <w:spacing w:line="276" w:lineRule="auto"/>
              <w:rPr>
                <w:rFonts w:ascii="Arial" w:eastAsia="Times New Roman" w:hAnsi="Arial" w:cs="Arial"/>
                <w:b/>
                <w:bCs/>
                <w:sz w:val="18"/>
                <w:szCs w:val="18"/>
                <w:lang w:eastAsia="en-GB"/>
              </w:rPr>
            </w:pPr>
            <w:r w:rsidRPr="00793D69">
              <w:rPr>
                <w:rFonts w:ascii="Arial" w:eastAsia="Times New Roman" w:hAnsi="Arial" w:cs="Arial"/>
                <w:b/>
                <w:bCs/>
                <w:sz w:val="18"/>
                <w:szCs w:val="18"/>
                <w:lang w:eastAsia="en-GB"/>
              </w:rPr>
              <w:t>Total Consumption (tonnes)</w:t>
            </w:r>
          </w:p>
        </w:tc>
        <w:tc>
          <w:tcPr>
            <w:tcW w:w="1059" w:type="pct"/>
            <w:tcBorders>
              <w:top w:val="nil"/>
              <w:left w:val="nil"/>
              <w:bottom w:val="single" w:sz="4" w:space="0" w:color="auto"/>
              <w:right w:val="single" w:sz="4" w:space="0" w:color="auto"/>
            </w:tcBorders>
            <w:shd w:val="clear" w:color="000000" w:fill="FFF2CC"/>
            <w:noWrap/>
            <w:vAlign w:val="bottom"/>
            <w:hideMark/>
          </w:tcPr>
          <w:p w14:paraId="69143327" w14:textId="77777777" w:rsidR="00793D69" w:rsidRPr="00793D69" w:rsidRDefault="00793D69" w:rsidP="00D73374">
            <w:pPr>
              <w:spacing w:line="276" w:lineRule="auto"/>
              <w:jc w:val="right"/>
              <w:rPr>
                <w:rFonts w:ascii="Arial" w:eastAsia="Times New Roman" w:hAnsi="Arial" w:cs="Arial"/>
                <w:b/>
                <w:bCs/>
                <w:sz w:val="18"/>
                <w:szCs w:val="18"/>
                <w:lang w:eastAsia="en-GB"/>
              </w:rPr>
            </w:pPr>
            <w:r w:rsidRPr="00793D69">
              <w:rPr>
                <w:rFonts w:ascii="Arial" w:eastAsia="Times New Roman" w:hAnsi="Arial" w:cs="Arial"/>
                <w:b/>
                <w:bCs/>
                <w:sz w:val="18"/>
                <w:szCs w:val="18"/>
                <w:lang w:eastAsia="en-GB"/>
              </w:rPr>
              <w:t>2,825,000</w:t>
            </w:r>
          </w:p>
        </w:tc>
        <w:tc>
          <w:tcPr>
            <w:tcW w:w="988" w:type="pct"/>
            <w:tcBorders>
              <w:top w:val="nil"/>
              <w:left w:val="nil"/>
              <w:bottom w:val="single" w:sz="4" w:space="0" w:color="auto"/>
              <w:right w:val="single" w:sz="4" w:space="0" w:color="auto"/>
            </w:tcBorders>
            <w:shd w:val="clear" w:color="000000" w:fill="FFF2CC"/>
            <w:noWrap/>
            <w:vAlign w:val="bottom"/>
            <w:hideMark/>
          </w:tcPr>
          <w:p w14:paraId="46FB4A8A" w14:textId="77777777" w:rsidR="00793D69" w:rsidRPr="00793D69" w:rsidRDefault="00793D69" w:rsidP="00D73374">
            <w:pPr>
              <w:spacing w:line="276" w:lineRule="auto"/>
              <w:jc w:val="right"/>
              <w:rPr>
                <w:rFonts w:ascii="Arial" w:eastAsia="Times New Roman" w:hAnsi="Arial" w:cs="Arial"/>
                <w:b/>
                <w:bCs/>
                <w:sz w:val="18"/>
                <w:szCs w:val="18"/>
                <w:lang w:eastAsia="en-GB"/>
              </w:rPr>
            </w:pPr>
            <w:r w:rsidRPr="00793D69">
              <w:rPr>
                <w:rFonts w:ascii="Arial" w:eastAsia="Times New Roman" w:hAnsi="Arial" w:cs="Arial"/>
                <w:b/>
                <w:bCs/>
                <w:sz w:val="18"/>
                <w:szCs w:val="18"/>
                <w:lang w:eastAsia="en-GB"/>
              </w:rPr>
              <w:t>2,884,000</w:t>
            </w:r>
          </w:p>
        </w:tc>
        <w:tc>
          <w:tcPr>
            <w:tcW w:w="954" w:type="pct"/>
            <w:tcBorders>
              <w:top w:val="nil"/>
              <w:left w:val="nil"/>
              <w:bottom w:val="single" w:sz="4" w:space="0" w:color="auto"/>
              <w:right w:val="single" w:sz="4" w:space="0" w:color="auto"/>
            </w:tcBorders>
            <w:shd w:val="clear" w:color="000000" w:fill="FFF2CC"/>
            <w:noWrap/>
            <w:vAlign w:val="bottom"/>
          </w:tcPr>
          <w:p w14:paraId="31677523" w14:textId="77777777" w:rsidR="00793D69" w:rsidRPr="00793D69" w:rsidRDefault="00793D69" w:rsidP="00D73374">
            <w:pPr>
              <w:spacing w:line="276" w:lineRule="auto"/>
              <w:jc w:val="right"/>
              <w:rPr>
                <w:rFonts w:ascii="Arial" w:eastAsia="Times New Roman" w:hAnsi="Arial" w:cs="Arial"/>
                <w:b/>
                <w:bCs/>
                <w:sz w:val="18"/>
                <w:szCs w:val="18"/>
                <w:lang w:eastAsia="en-GB"/>
              </w:rPr>
            </w:pPr>
            <w:r w:rsidRPr="00793D69">
              <w:rPr>
                <w:rFonts w:ascii="Arial" w:eastAsia="Times New Roman" w:hAnsi="Arial" w:cs="Arial"/>
                <w:b/>
                <w:bCs/>
                <w:sz w:val="18"/>
                <w:szCs w:val="18"/>
                <w:lang w:eastAsia="en-GB"/>
              </w:rPr>
              <w:t>3,324,000</w:t>
            </w:r>
          </w:p>
        </w:tc>
      </w:tr>
      <w:tr w:rsidR="00793D69" w:rsidRPr="00793D69" w14:paraId="22778894" w14:textId="77777777" w:rsidTr="00477600">
        <w:trPr>
          <w:trHeight w:val="255"/>
        </w:trPr>
        <w:tc>
          <w:tcPr>
            <w:tcW w:w="1999" w:type="pct"/>
            <w:tcBorders>
              <w:top w:val="nil"/>
              <w:left w:val="single" w:sz="4" w:space="0" w:color="auto"/>
              <w:bottom w:val="single" w:sz="4" w:space="0" w:color="auto"/>
              <w:right w:val="single" w:sz="4" w:space="0" w:color="auto"/>
            </w:tcBorders>
            <w:shd w:val="clear" w:color="000000" w:fill="DDEBF7"/>
            <w:vAlign w:val="bottom"/>
            <w:hideMark/>
          </w:tcPr>
          <w:p w14:paraId="16063817" w14:textId="77777777" w:rsidR="00793D69" w:rsidRPr="00793D69" w:rsidRDefault="00793D69" w:rsidP="00D73374">
            <w:pPr>
              <w:spacing w:line="276" w:lineRule="auto"/>
              <w:rPr>
                <w:rFonts w:ascii="Arial" w:eastAsia="Times New Roman" w:hAnsi="Arial" w:cs="Arial"/>
                <w:b/>
                <w:bCs/>
                <w:sz w:val="18"/>
                <w:szCs w:val="18"/>
                <w:lang w:eastAsia="en-GB"/>
              </w:rPr>
            </w:pPr>
            <w:r w:rsidRPr="00793D69">
              <w:rPr>
                <w:rFonts w:ascii="Arial" w:eastAsia="Times New Roman" w:hAnsi="Arial" w:cs="Arial"/>
                <w:b/>
                <w:bCs/>
                <w:sz w:val="18"/>
                <w:szCs w:val="18"/>
                <w:lang w:eastAsia="en-GB"/>
              </w:rPr>
              <w:t xml:space="preserve">West Yorkshire </w:t>
            </w:r>
          </w:p>
        </w:tc>
        <w:tc>
          <w:tcPr>
            <w:tcW w:w="1059" w:type="pct"/>
            <w:tcBorders>
              <w:top w:val="nil"/>
              <w:left w:val="nil"/>
              <w:bottom w:val="single" w:sz="4" w:space="0" w:color="auto"/>
              <w:right w:val="single" w:sz="4" w:space="0" w:color="auto"/>
            </w:tcBorders>
            <w:shd w:val="clear" w:color="000000" w:fill="DDEBF7"/>
            <w:noWrap/>
            <w:vAlign w:val="center"/>
            <w:hideMark/>
          </w:tcPr>
          <w:p w14:paraId="07A283AE" w14:textId="77777777" w:rsidR="00793D69" w:rsidRPr="00793D69" w:rsidRDefault="00793D69" w:rsidP="00D73374">
            <w:pPr>
              <w:spacing w:line="276" w:lineRule="auto"/>
              <w:jc w:val="right"/>
              <w:rPr>
                <w:rFonts w:ascii="Arial" w:eastAsia="Times New Roman" w:hAnsi="Arial" w:cs="Arial"/>
                <w:color w:val="808080"/>
                <w:sz w:val="18"/>
                <w:szCs w:val="18"/>
                <w:lang w:eastAsia="en-GB"/>
              </w:rPr>
            </w:pPr>
            <w:r w:rsidRPr="00793D69">
              <w:rPr>
                <w:rFonts w:ascii="Arial" w:eastAsia="Times New Roman" w:hAnsi="Arial" w:cs="Arial"/>
                <w:color w:val="808080"/>
                <w:sz w:val="18"/>
                <w:szCs w:val="18"/>
                <w:lang w:eastAsia="en-GB"/>
              </w:rPr>
              <w:t> </w:t>
            </w:r>
          </w:p>
        </w:tc>
        <w:tc>
          <w:tcPr>
            <w:tcW w:w="988" w:type="pct"/>
            <w:tcBorders>
              <w:top w:val="nil"/>
              <w:left w:val="nil"/>
              <w:bottom w:val="single" w:sz="4" w:space="0" w:color="auto"/>
              <w:right w:val="single" w:sz="4" w:space="0" w:color="auto"/>
            </w:tcBorders>
            <w:shd w:val="clear" w:color="000000" w:fill="DDEBF7"/>
            <w:noWrap/>
            <w:vAlign w:val="center"/>
            <w:hideMark/>
          </w:tcPr>
          <w:p w14:paraId="00A25BF8" w14:textId="77777777" w:rsidR="00793D69" w:rsidRPr="00793D69" w:rsidRDefault="00793D69" w:rsidP="00D73374">
            <w:pPr>
              <w:spacing w:line="276" w:lineRule="auto"/>
              <w:jc w:val="right"/>
              <w:rPr>
                <w:rFonts w:ascii="Arial" w:eastAsia="Times New Roman" w:hAnsi="Arial" w:cs="Arial"/>
                <w:color w:val="808080"/>
                <w:sz w:val="18"/>
                <w:szCs w:val="18"/>
                <w:lang w:eastAsia="en-GB"/>
              </w:rPr>
            </w:pPr>
            <w:r w:rsidRPr="00793D69">
              <w:rPr>
                <w:rFonts w:ascii="Arial" w:eastAsia="Times New Roman" w:hAnsi="Arial" w:cs="Arial"/>
                <w:color w:val="808080"/>
                <w:sz w:val="18"/>
                <w:szCs w:val="18"/>
                <w:lang w:eastAsia="en-GB"/>
              </w:rPr>
              <w:t> </w:t>
            </w:r>
          </w:p>
        </w:tc>
        <w:tc>
          <w:tcPr>
            <w:tcW w:w="954" w:type="pct"/>
            <w:tcBorders>
              <w:top w:val="nil"/>
              <w:left w:val="nil"/>
              <w:bottom w:val="single" w:sz="4" w:space="0" w:color="auto"/>
              <w:right w:val="single" w:sz="4" w:space="0" w:color="auto"/>
            </w:tcBorders>
            <w:shd w:val="clear" w:color="000000" w:fill="DDEBF7"/>
            <w:noWrap/>
            <w:vAlign w:val="center"/>
          </w:tcPr>
          <w:p w14:paraId="6FAEDD95" w14:textId="77777777" w:rsidR="00793D69" w:rsidRPr="00793D69" w:rsidRDefault="00793D69" w:rsidP="00D73374">
            <w:pPr>
              <w:spacing w:line="276" w:lineRule="auto"/>
              <w:jc w:val="right"/>
              <w:rPr>
                <w:rFonts w:ascii="Arial" w:eastAsia="Times New Roman" w:hAnsi="Arial" w:cs="Arial"/>
                <w:color w:val="808080"/>
                <w:sz w:val="18"/>
                <w:szCs w:val="18"/>
                <w:lang w:eastAsia="en-GB"/>
              </w:rPr>
            </w:pPr>
          </w:p>
        </w:tc>
      </w:tr>
      <w:tr w:rsidR="00C94E0F" w:rsidRPr="00793D69" w14:paraId="4887124F" w14:textId="77777777" w:rsidTr="00477600">
        <w:trPr>
          <w:trHeight w:val="255"/>
        </w:trPr>
        <w:tc>
          <w:tcPr>
            <w:tcW w:w="1999" w:type="pct"/>
            <w:tcBorders>
              <w:top w:val="nil"/>
              <w:left w:val="single" w:sz="4" w:space="0" w:color="auto"/>
              <w:bottom w:val="single" w:sz="4" w:space="0" w:color="auto"/>
              <w:right w:val="single" w:sz="4" w:space="0" w:color="auto"/>
            </w:tcBorders>
            <w:shd w:val="clear" w:color="auto" w:fill="auto"/>
            <w:vAlign w:val="bottom"/>
            <w:hideMark/>
          </w:tcPr>
          <w:p w14:paraId="5EBF66E9" w14:textId="77777777" w:rsidR="00C94E0F" w:rsidRPr="00793D69" w:rsidRDefault="00C94E0F" w:rsidP="00D73374">
            <w:pPr>
              <w:spacing w:line="276" w:lineRule="auto"/>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Wakefield</w:t>
            </w:r>
          </w:p>
        </w:tc>
        <w:tc>
          <w:tcPr>
            <w:tcW w:w="1059" w:type="pct"/>
            <w:tcBorders>
              <w:top w:val="nil"/>
              <w:left w:val="nil"/>
              <w:bottom w:val="single" w:sz="4" w:space="0" w:color="auto"/>
              <w:right w:val="single" w:sz="4" w:space="0" w:color="auto"/>
            </w:tcBorders>
            <w:shd w:val="clear" w:color="auto" w:fill="auto"/>
            <w:noWrap/>
            <w:vAlign w:val="bottom"/>
            <w:hideMark/>
          </w:tcPr>
          <w:p w14:paraId="6FDBEDFB" w14:textId="5E296F7B" w:rsidR="00C94E0F" w:rsidRPr="00793D69" w:rsidRDefault="0083783F" w:rsidP="00D73374">
            <w:pPr>
              <w:spacing w:line="276" w:lineRule="auto"/>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1360</w:t>
            </w:r>
          </w:p>
        </w:tc>
        <w:tc>
          <w:tcPr>
            <w:tcW w:w="988" w:type="pct"/>
            <w:tcBorders>
              <w:top w:val="nil"/>
              <w:left w:val="nil"/>
              <w:bottom w:val="single" w:sz="4" w:space="0" w:color="auto"/>
              <w:right w:val="single" w:sz="4" w:space="0" w:color="auto"/>
            </w:tcBorders>
            <w:shd w:val="clear" w:color="auto" w:fill="auto"/>
            <w:noWrap/>
            <w:vAlign w:val="bottom"/>
            <w:hideMark/>
          </w:tcPr>
          <w:p w14:paraId="6345A141" w14:textId="76A6B0E0" w:rsidR="00C94E0F" w:rsidRPr="00793D69" w:rsidRDefault="007659CB" w:rsidP="00D73374">
            <w:pPr>
              <w:spacing w:line="276" w:lineRule="auto"/>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903</w:t>
            </w:r>
          </w:p>
        </w:tc>
        <w:tc>
          <w:tcPr>
            <w:tcW w:w="954" w:type="pct"/>
            <w:tcBorders>
              <w:top w:val="nil"/>
              <w:left w:val="nil"/>
              <w:bottom w:val="single" w:sz="4" w:space="0" w:color="auto"/>
              <w:right w:val="single" w:sz="4" w:space="0" w:color="auto"/>
            </w:tcBorders>
            <w:shd w:val="clear" w:color="auto" w:fill="auto"/>
            <w:noWrap/>
            <w:vAlign w:val="bottom"/>
          </w:tcPr>
          <w:p w14:paraId="01482A30" w14:textId="3EE49303" w:rsidR="00C94E0F" w:rsidRPr="00793D69" w:rsidRDefault="00C94E0F" w:rsidP="00D73374">
            <w:pPr>
              <w:spacing w:line="276" w:lineRule="auto"/>
              <w:jc w:val="right"/>
              <w:rPr>
                <w:rFonts w:ascii="Arial" w:eastAsia="Times New Roman" w:hAnsi="Arial" w:cs="Arial"/>
                <w:color w:val="000000"/>
                <w:sz w:val="18"/>
                <w:szCs w:val="18"/>
                <w:lang w:eastAsia="en-GB"/>
              </w:rPr>
            </w:pPr>
            <w:r w:rsidRPr="00CC64D2">
              <w:rPr>
                <w:rFonts w:ascii="Arial" w:eastAsia="Times New Roman" w:hAnsi="Arial" w:cs="Arial"/>
                <w:color w:val="FF0000"/>
                <w:sz w:val="18"/>
                <w:szCs w:val="18"/>
                <w:lang w:eastAsia="en-GB"/>
              </w:rPr>
              <w:t>1,974</w:t>
            </w:r>
          </w:p>
        </w:tc>
      </w:tr>
      <w:tr w:rsidR="00C94E0F" w:rsidRPr="00793D69" w14:paraId="54961F93" w14:textId="77777777" w:rsidTr="00477600">
        <w:trPr>
          <w:trHeight w:val="255"/>
        </w:trPr>
        <w:tc>
          <w:tcPr>
            <w:tcW w:w="1999" w:type="pct"/>
            <w:tcBorders>
              <w:top w:val="nil"/>
              <w:left w:val="single" w:sz="4" w:space="0" w:color="auto"/>
              <w:bottom w:val="single" w:sz="4" w:space="0" w:color="auto"/>
              <w:right w:val="single" w:sz="4" w:space="0" w:color="auto"/>
            </w:tcBorders>
            <w:shd w:val="clear" w:color="auto" w:fill="auto"/>
            <w:vAlign w:val="bottom"/>
            <w:hideMark/>
          </w:tcPr>
          <w:p w14:paraId="00D63440" w14:textId="77777777" w:rsidR="00C94E0F" w:rsidRPr="00793D69" w:rsidRDefault="00C94E0F" w:rsidP="00D73374">
            <w:pPr>
              <w:spacing w:line="276" w:lineRule="auto"/>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Leeds</w:t>
            </w:r>
          </w:p>
        </w:tc>
        <w:tc>
          <w:tcPr>
            <w:tcW w:w="1059" w:type="pct"/>
            <w:tcBorders>
              <w:top w:val="nil"/>
              <w:left w:val="nil"/>
              <w:bottom w:val="single" w:sz="4" w:space="0" w:color="auto"/>
              <w:right w:val="single" w:sz="4" w:space="0" w:color="auto"/>
            </w:tcBorders>
            <w:shd w:val="clear" w:color="auto" w:fill="auto"/>
            <w:noWrap/>
            <w:vAlign w:val="center"/>
            <w:hideMark/>
          </w:tcPr>
          <w:p w14:paraId="349F2822" w14:textId="77777777" w:rsidR="00C94E0F" w:rsidRPr="00793D69" w:rsidRDefault="00C94E0F"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2,519</w:t>
            </w:r>
          </w:p>
        </w:tc>
        <w:tc>
          <w:tcPr>
            <w:tcW w:w="988" w:type="pct"/>
            <w:tcBorders>
              <w:top w:val="nil"/>
              <w:left w:val="nil"/>
              <w:bottom w:val="single" w:sz="4" w:space="0" w:color="auto"/>
              <w:right w:val="single" w:sz="4" w:space="0" w:color="auto"/>
            </w:tcBorders>
            <w:shd w:val="clear" w:color="auto" w:fill="auto"/>
            <w:noWrap/>
            <w:vAlign w:val="center"/>
            <w:hideMark/>
          </w:tcPr>
          <w:p w14:paraId="58D3729F" w14:textId="77777777" w:rsidR="00C94E0F" w:rsidRPr="00793D69" w:rsidRDefault="00C94E0F"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2,323</w:t>
            </w:r>
          </w:p>
        </w:tc>
        <w:tc>
          <w:tcPr>
            <w:tcW w:w="954" w:type="pct"/>
            <w:tcBorders>
              <w:top w:val="nil"/>
              <w:left w:val="nil"/>
              <w:bottom w:val="single" w:sz="4" w:space="0" w:color="auto"/>
              <w:right w:val="single" w:sz="4" w:space="0" w:color="auto"/>
            </w:tcBorders>
            <w:shd w:val="clear" w:color="auto" w:fill="auto"/>
            <w:noWrap/>
            <w:vAlign w:val="center"/>
          </w:tcPr>
          <w:p w14:paraId="42E13409" w14:textId="36966B48" w:rsidR="00C94E0F" w:rsidRPr="00793D69" w:rsidRDefault="00C94E0F" w:rsidP="00D73374">
            <w:pPr>
              <w:spacing w:line="276" w:lineRule="auto"/>
              <w:jc w:val="right"/>
              <w:rPr>
                <w:rFonts w:ascii="Arial" w:eastAsia="Times New Roman" w:hAnsi="Arial" w:cs="Arial"/>
                <w:color w:val="000000"/>
                <w:sz w:val="18"/>
                <w:szCs w:val="18"/>
                <w:lang w:eastAsia="en-GB"/>
              </w:rPr>
            </w:pPr>
            <w:r w:rsidRPr="00784D2B">
              <w:rPr>
                <w:rFonts w:ascii="Arial" w:eastAsia="Times New Roman" w:hAnsi="Arial" w:cs="Arial"/>
                <w:color w:val="FF0000"/>
                <w:sz w:val="18"/>
                <w:szCs w:val="18"/>
                <w:lang w:eastAsia="en-GB"/>
              </w:rPr>
              <w:t>3,381</w:t>
            </w:r>
          </w:p>
        </w:tc>
      </w:tr>
      <w:tr w:rsidR="00C94E0F" w:rsidRPr="00793D69" w14:paraId="2B73725B" w14:textId="77777777" w:rsidTr="00477600">
        <w:trPr>
          <w:trHeight w:val="255"/>
        </w:trPr>
        <w:tc>
          <w:tcPr>
            <w:tcW w:w="1999" w:type="pct"/>
            <w:tcBorders>
              <w:top w:val="nil"/>
              <w:left w:val="single" w:sz="4" w:space="0" w:color="auto"/>
              <w:bottom w:val="single" w:sz="4" w:space="0" w:color="auto"/>
              <w:right w:val="single" w:sz="4" w:space="0" w:color="auto"/>
            </w:tcBorders>
            <w:shd w:val="clear" w:color="auto" w:fill="auto"/>
            <w:vAlign w:val="bottom"/>
            <w:hideMark/>
          </w:tcPr>
          <w:p w14:paraId="1E46303B" w14:textId="77777777" w:rsidR="00C94E0F" w:rsidRPr="00793D69" w:rsidRDefault="00C94E0F" w:rsidP="00D73374">
            <w:pPr>
              <w:spacing w:line="276" w:lineRule="auto"/>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Bradford</w:t>
            </w:r>
          </w:p>
        </w:tc>
        <w:tc>
          <w:tcPr>
            <w:tcW w:w="1059" w:type="pct"/>
            <w:tcBorders>
              <w:top w:val="nil"/>
              <w:left w:val="nil"/>
              <w:bottom w:val="single" w:sz="4" w:space="0" w:color="auto"/>
              <w:right w:val="single" w:sz="4" w:space="0" w:color="auto"/>
            </w:tcBorders>
            <w:shd w:val="clear" w:color="auto" w:fill="auto"/>
            <w:noWrap/>
            <w:vAlign w:val="bottom"/>
            <w:hideMark/>
          </w:tcPr>
          <w:p w14:paraId="05B51B82" w14:textId="77777777" w:rsidR="00C94E0F" w:rsidRPr="00793D69" w:rsidRDefault="00C94E0F"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1360</w:t>
            </w:r>
          </w:p>
        </w:tc>
        <w:tc>
          <w:tcPr>
            <w:tcW w:w="988" w:type="pct"/>
            <w:tcBorders>
              <w:top w:val="nil"/>
              <w:left w:val="nil"/>
              <w:bottom w:val="single" w:sz="4" w:space="0" w:color="auto"/>
              <w:right w:val="single" w:sz="4" w:space="0" w:color="auto"/>
            </w:tcBorders>
            <w:shd w:val="clear" w:color="auto" w:fill="auto"/>
            <w:noWrap/>
            <w:vAlign w:val="bottom"/>
            <w:hideMark/>
          </w:tcPr>
          <w:p w14:paraId="0FECF610" w14:textId="77777777" w:rsidR="00C94E0F" w:rsidRPr="00793D69" w:rsidRDefault="00C94E0F"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1590</w:t>
            </w:r>
          </w:p>
        </w:tc>
        <w:tc>
          <w:tcPr>
            <w:tcW w:w="954" w:type="pct"/>
            <w:tcBorders>
              <w:top w:val="nil"/>
              <w:left w:val="nil"/>
              <w:bottom w:val="single" w:sz="4" w:space="0" w:color="auto"/>
              <w:right w:val="single" w:sz="4" w:space="0" w:color="auto"/>
            </w:tcBorders>
            <w:shd w:val="clear" w:color="auto" w:fill="auto"/>
            <w:noWrap/>
            <w:vAlign w:val="bottom"/>
          </w:tcPr>
          <w:p w14:paraId="10A88142" w14:textId="31ACF27A" w:rsidR="00C94E0F" w:rsidRPr="00793D69" w:rsidRDefault="00C94E0F" w:rsidP="00D73374">
            <w:pPr>
              <w:spacing w:line="276" w:lineRule="auto"/>
              <w:jc w:val="right"/>
              <w:rPr>
                <w:rFonts w:ascii="Arial" w:eastAsia="Times New Roman" w:hAnsi="Arial" w:cs="Arial"/>
                <w:color w:val="000000"/>
                <w:sz w:val="18"/>
                <w:szCs w:val="18"/>
                <w:lang w:eastAsia="en-GB"/>
              </w:rPr>
            </w:pPr>
            <w:r w:rsidRPr="00162919">
              <w:rPr>
                <w:rFonts w:ascii="Arial" w:eastAsia="Times New Roman" w:hAnsi="Arial" w:cs="Arial"/>
                <w:color w:val="FF0000"/>
                <w:sz w:val="18"/>
                <w:szCs w:val="18"/>
                <w:lang w:eastAsia="en-GB"/>
              </w:rPr>
              <w:t>1,778</w:t>
            </w:r>
          </w:p>
        </w:tc>
      </w:tr>
      <w:tr w:rsidR="00C94E0F" w:rsidRPr="00793D69" w14:paraId="106CA318" w14:textId="77777777" w:rsidTr="00477600">
        <w:trPr>
          <w:trHeight w:val="255"/>
        </w:trPr>
        <w:tc>
          <w:tcPr>
            <w:tcW w:w="1999" w:type="pct"/>
            <w:tcBorders>
              <w:top w:val="nil"/>
              <w:left w:val="single" w:sz="4" w:space="0" w:color="auto"/>
              <w:bottom w:val="single" w:sz="4" w:space="0" w:color="auto"/>
              <w:right w:val="single" w:sz="4" w:space="0" w:color="auto"/>
            </w:tcBorders>
            <w:shd w:val="clear" w:color="auto" w:fill="auto"/>
            <w:vAlign w:val="bottom"/>
            <w:hideMark/>
          </w:tcPr>
          <w:p w14:paraId="06F6DB70" w14:textId="77777777" w:rsidR="00C94E0F" w:rsidRPr="00793D69" w:rsidRDefault="00C94E0F" w:rsidP="00D73374">
            <w:pPr>
              <w:spacing w:line="276" w:lineRule="auto"/>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Kirklees</w:t>
            </w:r>
          </w:p>
        </w:tc>
        <w:tc>
          <w:tcPr>
            <w:tcW w:w="1059" w:type="pct"/>
            <w:tcBorders>
              <w:top w:val="nil"/>
              <w:left w:val="nil"/>
              <w:bottom w:val="single" w:sz="4" w:space="0" w:color="auto"/>
              <w:right w:val="single" w:sz="4" w:space="0" w:color="auto"/>
            </w:tcBorders>
            <w:shd w:val="clear" w:color="auto" w:fill="auto"/>
            <w:noWrap/>
            <w:vAlign w:val="bottom"/>
            <w:hideMark/>
          </w:tcPr>
          <w:p w14:paraId="474D0B03" w14:textId="77777777" w:rsidR="00C94E0F" w:rsidRPr="00793D69" w:rsidRDefault="00C94E0F"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781</w:t>
            </w:r>
          </w:p>
        </w:tc>
        <w:tc>
          <w:tcPr>
            <w:tcW w:w="988" w:type="pct"/>
            <w:tcBorders>
              <w:top w:val="nil"/>
              <w:left w:val="nil"/>
              <w:bottom w:val="single" w:sz="4" w:space="0" w:color="auto"/>
              <w:right w:val="single" w:sz="4" w:space="0" w:color="auto"/>
            </w:tcBorders>
            <w:shd w:val="clear" w:color="auto" w:fill="auto"/>
            <w:noWrap/>
            <w:vAlign w:val="bottom"/>
            <w:hideMark/>
          </w:tcPr>
          <w:p w14:paraId="71AC5C30" w14:textId="77777777" w:rsidR="00C94E0F" w:rsidRPr="00793D69" w:rsidRDefault="00C94E0F"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731</w:t>
            </w:r>
          </w:p>
        </w:tc>
        <w:tc>
          <w:tcPr>
            <w:tcW w:w="954" w:type="pct"/>
            <w:tcBorders>
              <w:top w:val="nil"/>
              <w:left w:val="nil"/>
              <w:bottom w:val="single" w:sz="4" w:space="0" w:color="auto"/>
              <w:right w:val="single" w:sz="4" w:space="0" w:color="auto"/>
            </w:tcBorders>
            <w:shd w:val="clear" w:color="auto" w:fill="auto"/>
            <w:noWrap/>
            <w:vAlign w:val="bottom"/>
          </w:tcPr>
          <w:p w14:paraId="7C597F11" w14:textId="4E86D93C" w:rsidR="00C94E0F" w:rsidRPr="00793D69" w:rsidRDefault="00C94E0F" w:rsidP="00D73374">
            <w:pPr>
              <w:spacing w:line="276" w:lineRule="auto"/>
              <w:jc w:val="right"/>
              <w:rPr>
                <w:rFonts w:ascii="Arial" w:eastAsia="Times New Roman" w:hAnsi="Arial" w:cs="Arial"/>
                <w:color w:val="000000"/>
                <w:sz w:val="18"/>
                <w:szCs w:val="18"/>
                <w:lang w:eastAsia="en-GB"/>
              </w:rPr>
            </w:pPr>
            <w:r w:rsidRPr="00CC5E18">
              <w:rPr>
                <w:rFonts w:ascii="Arial" w:eastAsia="Times New Roman" w:hAnsi="Arial" w:cs="Arial"/>
                <w:color w:val="FF0000"/>
                <w:sz w:val="18"/>
                <w:szCs w:val="18"/>
                <w:lang w:eastAsia="en-GB"/>
              </w:rPr>
              <w:t>1,438</w:t>
            </w:r>
          </w:p>
        </w:tc>
      </w:tr>
      <w:tr w:rsidR="00C94E0F" w:rsidRPr="00793D69" w14:paraId="5CD18884" w14:textId="77777777" w:rsidTr="00477600">
        <w:trPr>
          <w:trHeight w:val="255"/>
        </w:trPr>
        <w:tc>
          <w:tcPr>
            <w:tcW w:w="1999" w:type="pct"/>
            <w:tcBorders>
              <w:top w:val="nil"/>
              <w:left w:val="single" w:sz="4" w:space="0" w:color="auto"/>
              <w:bottom w:val="single" w:sz="4" w:space="0" w:color="auto"/>
              <w:right w:val="single" w:sz="4" w:space="0" w:color="auto"/>
            </w:tcBorders>
            <w:shd w:val="clear" w:color="auto" w:fill="auto"/>
            <w:vAlign w:val="bottom"/>
            <w:hideMark/>
          </w:tcPr>
          <w:p w14:paraId="32B98332" w14:textId="77777777" w:rsidR="00C94E0F" w:rsidRPr="00793D69" w:rsidRDefault="00C94E0F" w:rsidP="00D73374">
            <w:pPr>
              <w:spacing w:line="276" w:lineRule="auto"/>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 xml:space="preserve">Calderdale </w:t>
            </w:r>
          </w:p>
        </w:tc>
        <w:tc>
          <w:tcPr>
            <w:tcW w:w="1059" w:type="pct"/>
            <w:tcBorders>
              <w:top w:val="nil"/>
              <w:left w:val="nil"/>
              <w:bottom w:val="single" w:sz="4" w:space="0" w:color="auto"/>
              <w:right w:val="single" w:sz="4" w:space="0" w:color="auto"/>
            </w:tcBorders>
            <w:shd w:val="clear" w:color="auto" w:fill="auto"/>
            <w:noWrap/>
            <w:vAlign w:val="bottom"/>
            <w:hideMark/>
          </w:tcPr>
          <w:p w14:paraId="11EAE6D7" w14:textId="77777777" w:rsidR="00C94E0F" w:rsidRPr="00793D69" w:rsidRDefault="00C94E0F"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710</w:t>
            </w:r>
          </w:p>
        </w:tc>
        <w:tc>
          <w:tcPr>
            <w:tcW w:w="988" w:type="pct"/>
            <w:tcBorders>
              <w:top w:val="nil"/>
              <w:left w:val="nil"/>
              <w:bottom w:val="single" w:sz="4" w:space="0" w:color="auto"/>
              <w:right w:val="single" w:sz="4" w:space="0" w:color="auto"/>
            </w:tcBorders>
            <w:shd w:val="clear" w:color="auto" w:fill="auto"/>
            <w:noWrap/>
            <w:vAlign w:val="bottom"/>
            <w:hideMark/>
          </w:tcPr>
          <w:p w14:paraId="7BA67921" w14:textId="77777777" w:rsidR="00C94E0F" w:rsidRPr="00793D69" w:rsidRDefault="00C94E0F"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418</w:t>
            </w:r>
          </w:p>
        </w:tc>
        <w:tc>
          <w:tcPr>
            <w:tcW w:w="954" w:type="pct"/>
            <w:tcBorders>
              <w:top w:val="nil"/>
              <w:left w:val="nil"/>
              <w:bottom w:val="single" w:sz="4" w:space="0" w:color="auto"/>
              <w:right w:val="single" w:sz="4" w:space="0" w:color="auto"/>
            </w:tcBorders>
            <w:shd w:val="clear" w:color="auto" w:fill="auto"/>
            <w:noWrap/>
            <w:vAlign w:val="bottom"/>
          </w:tcPr>
          <w:p w14:paraId="3C81DB94" w14:textId="4DB1D3C6" w:rsidR="00C94E0F" w:rsidRPr="00793D69" w:rsidRDefault="00C94E0F" w:rsidP="00D73374">
            <w:pPr>
              <w:spacing w:line="276" w:lineRule="auto"/>
              <w:jc w:val="right"/>
              <w:rPr>
                <w:rFonts w:ascii="Arial" w:eastAsia="Times New Roman" w:hAnsi="Arial" w:cs="Arial"/>
                <w:color w:val="000000"/>
                <w:sz w:val="18"/>
                <w:szCs w:val="18"/>
                <w:lang w:eastAsia="en-GB"/>
              </w:rPr>
            </w:pPr>
            <w:r w:rsidRPr="00F87487">
              <w:rPr>
                <w:rFonts w:ascii="Arial" w:eastAsia="Times New Roman" w:hAnsi="Arial" w:cs="Arial"/>
                <w:color w:val="FF0000"/>
                <w:sz w:val="18"/>
                <w:szCs w:val="18"/>
                <w:lang w:eastAsia="en-GB"/>
              </w:rPr>
              <w:t>503</w:t>
            </w:r>
          </w:p>
        </w:tc>
      </w:tr>
      <w:tr w:rsidR="00C94E0F" w:rsidRPr="00793D69" w14:paraId="31857DFB" w14:textId="77777777" w:rsidTr="00477600">
        <w:trPr>
          <w:trHeight w:val="255"/>
        </w:trPr>
        <w:tc>
          <w:tcPr>
            <w:tcW w:w="1999" w:type="pct"/>
            <w:tcBorders>
              <w:top w:val="nil"/>
              <w:left w:val="single" w:sz="4" w:space="0" w:color="auto"/>
              <w:bottom w:val="single" w:sz="4" w:space="0" w:color="auto"/>
              <w:right w:val="single" w:sz="4" w:space="0" w:color="auto"/>
            </w:tcBorders>
            <w:shd w:val="clear" w:color="auto" w:fill="auto"/>
            <w:vAlign w:val="bottom"/>
            <w:hideMark/>
          </w:tcPr>
          <w:p w14:paraId="6D6F224B" w14:textId="77777777" w:rsidR="00C94E0F" w:rsidRPr="00793D69" w:rsidRDefault="00C94E0F" w:rsidP="00D73374">
            <w:pPr>
              <w:spacing w:line="276" w:lineRule="auto"/>
              <w:rPr>
                <w:rFonts w:ascii="Arial" w:eastAsia="Times New Roman" w:hAnsi="Arial" w:cs="Arial"/>
                <w:b/>
                <w:bCs/>
                <w:color w:val="000000"/>
                <w:sz w:val="18"/>
                <w:szCs w:val="18"/>
                <w:lang w:eastAsia="en-GB"/>
              </w:rPr>
            </w:pPr>
            <w:r w:rsidRPr="00793D69">
              <w:rPr>
                <w:rFonts w:ascii="Arial" w:eastAsia="Times New Roman" w:hAnsi="Arial" w:cs="Arial"/>
                <w:b/>
                <w:bCs/>
                <w:color w:val="000000"/>
                <w:sz w:val="18"/>
                <w:szCs w:val="18"/>
                <w:lang w:eastAsia="en-GB"/>
              </w:rPr>
              <w:t>Total dwellings</w:t>
            </w:r>
          </w:p>
        </w:tc>
        <w:tc>
          <w:tcPr>
            <w:tcW w:w="1059" w:type="pct"/>
            <w:tcBorders>
              <w:top w:val="nil"/>
              <w:left w:val="nil"/>
              <w:bottom w:val="single" w:sz="4" w:space="0" w:color="auto"/>
              <w:right w:val="single" w:sz="4" w:space="0" w:color="auto"/>
            </w:tcBorders>
            <w:shd w:val="clear" w:color="auto" w:fill="auto"/>
            <w:noWrap/>
            <w:vAlign w:val="bottom"/>
            <w:hideMark/>
          </w:tcPr>
          <w:p w14:paraId="5B837821" w14:textId="73DC707E" w:rsidR="00C94E0F" w:rsidRPr="00793D69" w:rsidRDefault="00B119D2" w:rsidP="00D73374">
            <w:pPr>
              <w:spacing w:line="276" w:lineRule="auto"/>
              <w:jc w:val="right"/>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6,730</w:t>
            </w:r>
          </w:p>
        </w:tc>
        <w:tc>
          <w:tcPr>
            <w:tcW w:w="988" w:type="pct"/>
            <w:tcBorders>
              <w:top w:val="nil"/>
              <w:left w:val="nil"/>
              <w:bottom w:val="single" w:sz="4" w:space="0" w:color="auto"/>
              <w:right w:val="single" w:sz="4" w:space="0" w:color="auto"/>
            </w:tcBorders>
            <w:shd w:val="clear" w:color="auto" w:fill="auto"/>
            <w:noWrap/>
            <w:vAlign w:val="bottom"/>
            <w:hideMark/>
          </w:tcPr>
          <w:p w14:paraId="5DA45E95" w14:textId="6AD479FF" w:rsidR="00C94E0F" w:rsidRPr="00793D69" w:rsidRDefault="00C43A0B" w:rsidP="00D73374">
            <w:pPr>
              <w:spacing w:line="276" w:lineRule="auto"/>
              <w:jc w:val="right"/>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5,965</w:t>
            </w:r>
          </w:p>
        </w:tc>
        <w:tc>
          <w:tcPr>
            <w:tcW w:w="954" w:type="pct"/>
            <w:tcBorders>
              <w:top w:val="nil"/>
              <w:left w:val="nil"/>
              <w:bottom w:val="single" w:sz="4" w:space="0" w:color="auto"/>
              <w:right w:val="single" w:sz="4" w:space="0" w:color="auto"/>
            </w:tcBorders>
            <w:shd w:val="clear" w:color="auto" w:fill="auto"/>
            <w:noWrap/>
            <w:vAlign w:val="bottom"/>
          </w:tcPr>
          <w:p w14:paraId="05CD56BF" w14:textId="00362DF1" w:rsidR="00C94E0F" w:rsidRPr="00793D69" w:rsidRDefault="00C94E0F" w:rsidP="00D73374">
            <w:pPr>
              <w:spacing w:line="276" w:lineRule="auto"/>
              <w:jc w:val="right"/>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9,074</w:t>
            </w:r>
          </w:p>
        </w:tc>
      </w:tr>
      <w:tr w:rsidR="00793D69" w:rsidRPr="00793D69" w14:paraId="1AF1812F" w14:textId="77777777" w:rsidTr="00477600">
        <w:trPr>
          <w:trHeight w:val="255"/>
        </w:trPr>
        <w:tc>
          <w:tcPr>
            <w:tcW w:w="1999" w:type="pct"/>
            <w:tcBorders>
              <w:top w:val="single" w:sz="4" w:space="0" w:color="auto"/>
              <w:left w:val="single" w:sz="4" w:space="0" w:color="auto"/>
              <w:bottom w:val="single" w:sz="4" w:space="0" w:color="auto"/>
              <w:right w:val="single" w:sz="4" w:space="0" w:color="auto"/>
            </w:tcBorders>
            <w:shd w:val="clear" w:color="000000" w:fill="EAEAEA"/>
            <w:vAlign w:val="center"/>
          </w:tcPr>
          <w:p w14:paraId="693EE08C" w14:textId="77777777" w:rsidR="00793D69" w:rsidRPr="00793D69" w:rsidRDefault="00793D69" w:rsidP="00D73374">
            <w:pPr>
              <w:spacing w:line="276" w:lineRule="auto"/>
              <w:rPr>
                <w:rFonts w:ascii="Arial" w:eastAsia="Times New Roman" w:hAnsi="Arial" w:cs="Arial"/>
                <w:color w:val="000000"/>
                <w:sz w:val="18"/>
                <w:szCs w:val="18"/>
                <w:lang w:eastAsia="en-GB"/>
              </w:rPr>
            </w:pPr>
            <w:r w:rsidRPr="00793D69">
              <w:rPr>
                <w:rFonts w:ascii="Arial" w:eastAsia="Calibri" w:hAnsi="Arial" w:cs="Arial"/>
                <w:color w:val="808080"/>
                <w:sz w:val="18"/>
                <w:szCs w:val="18"/>
              </w:rPr>
              <w:t>25% of total consumption for housing development</w:t>
            </w:r>
          </w:p>
        </w:tc>
        <w:tc>
          <w:tcPr>
            <w:tcW w:w="1059" w:type="pct"/>
            <w:tcBorders>
              <w:top w:val="single" w:sz="4" w:space="0" w:color="auto"/>
              <w:left w:val="nil"/>
              <w:bottom w:val="single" w:sz="4" w:space="0" w:color="auto"/>
              <w:right w:val="single" w:sz="4" w:space="0" w:color="auto"/>
            </w:tcBorders>
            <w:shd w:val="clear" w:color="000000" w:fill="EAEAEA"/>
            <w:noWrap/>
            <w:vAlign w:val="center"/>
          </w:tcPr>
          <w:p w14:paraId="2C3936F3" w14:textId="77777777" w:rsidR="00793D69" w:rsidRPr="00793D69" w:rsidRDefault="00793D69" w:rsidP="00D73374">
            <w:pPr>
              <w:spacing w:line="276" w:lineRule="auto"/>
              <w:jc w:val="right"/>
              <w:rPr>
                <w:rFonts w:ascii="Arial" w:eastAsia="Times New Roman" w:hAnsi="Arial" w:cs="Arial"/>
                <w:b/>
                <w:bCs/>
                <w:color w:val="000000"/>
                <w:sz w:val="18"/>
                <w:szCs w:val="18"/>
                <w:lang w:eastAsia="en-GB"/>
              </w:rPr>
            </w:pPr>
            <w:r w:rsidRPr="00793D69">
              <w:rPr>
                <w:rFonts w:ascii="Arial" w:eastAsia="Calibri" w:hAnsi="Arial" w:cs="Arial"/>
                <w:color w:val="808080"/>
                <w:sz w:val="18"/>
                <w:szCs w:val="18"/>
              </w:rPr>
              <w:t>785,500</w:t>
            </w:r>
          </w:p>
        </w:tc>
        <w:tc>
          <w:tcPr>
            <w:tcW w:w="988" w:type="pct"/>
            <w:tcBorders>
              <w:top w:val="single" w:sz="4" w:space="0" w:color="auto"/>
              <w:left w:val="nil"/>
              <w:bottom w:val="single" w:sz="4" w:space="0" w:color="auto"/>
              <w:right w:val="single" w:sz="4" w:space="0" w:color="auto"/>
            </w:tcBorders>
            <w:shd w:val="clear" w:color="000000" w:fill="EAEAEA"/>
            <w:noWrap/>
            <w:vAlign w:val="center"/>
          </w:tcPr>
          <w:p w14:paraId="29FDC4D2" w14:textId="77777777" w:rsidR="00793D69" w:rsidRPr="00793D69" w:rsidRDefault="00793D69" w:rsidP="00D73374">
            <w:pPr>
              <w:spacing w:line="276" w:lineRule="auto"/>
              <w:jc w:val="right"/>
              <w:rPr>
                <w:rFonts w:ascii="Arial" w:eastAsia="Times New Roman" w:hAnsi="Arial" w:cs="Arial"/>
                <w:b/>
                <w:bCs/>
                <w:color w:val="000000"/>
                <w:sz w:val="18"/>
                <w:szCs w:val="18"/>
                <w:lang w:eastAsia="en-GB"/>
              </w:rPr>
            </w:pPr>
            <w:r w:rsidRPr="00793D69">
              <w:rPr>
                <w:rFonts w:ascii="Arial" w:eastAsia="Calibri" w:hAnsi="Arial" w:cs="Arial"/>
                <w:color w:val="808080"/>
                <w:sz w:val="18"/>
                <w:szCs w:val="18"/>
              </w:rPr>
              <w:t>764,500</w:t>
            </w:r>
          </w:p>
        </w:tc>
        <w:tc>
          <w:tcPr>
            <w:tcW w:w="954" w:type="pct"/>
            <w:tcBorders>
              <w:top w:val="single" w:sz="4" w:space="0" w:color="auto"/>
              <w:left w:val="nil"/>
              <w:bottom w:val="single" w:sz="4" w:space="0" w:color="auto"/>
              <w:right w:val="single" w:sz="4" w:space="0" w:color="auto"/>
            </w:tcBorders>
            <w:shd w:val="clear" w:color="000000" w:fill="EAEAEA"/>
            <w:noWrap/>
            <w:vAlign w:val="center"/>
          </w:tcPr>
          <w:p w14:paraId="07747D24"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Calibri" w:hAnsi="Arial" w:cs="Arial"/>
                <w:color w:val="808080"/>
                <w:sz w:val="18"/>
                <w:szCs w:val="18"/>
              </w:rPr>
              <w:t>702,000 </w:t>
            </w:r>
          </w:p>
        </w:tc>
      </w:tr>
      <w:tr w:rsidR="00793D69" w:rsidRPr="00793D69" w14:paraId="5C99DEEF" w14:textId="77777777" w:rsidTr="00793D69">
        <w:trPr>
          <w:trHeight w:val="255"/>
        </w:trPr>
        <w:tc>
          <w:tcPr>
            <w:tcW w:w="1999" w:type="pct"/>
            <w:tcBorders>
              <w:top w:val="nil"/>
              <w:left w:val="single" w:sz="4" w:space="0" w:color="auto"/>
              <w:bottom w:val="single" w:sz="4" w:space="0" w:color="auto"/>
              <w:right w:val="single" w:sz="4" w:space="0" w:color="auto"/>
            </w:tcBorders>
            <w:shd w:val="clear" w:color="auto" w:fill="FFF2CC"/>
            <w:vAlign w:val="bottom"/>
            <w:hideMark/>
          </w:tcPr>
          <w:p w14:paraId="3DF596E8" w14:textId="77777777" w:rsidR="00793D69" w:rsidRPr="00793D69" w:rsidRDefault="00793D69" w:rsidP="00D73374">
            <w:pPr>
              <w:spacing w:line="276" w:lineRule="auto"/>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Sand and Gravel consumed in West Yorkshire (tonnes)</w:t>
            </w:r>
          </w:p>
        </w:tc>
        <w:tc>
          <w:tcPr>
            <w:tcW w:w="1059" w:type="pct"/>
            <w:tcBorders>
              <w:top w:val="nil"/>
              <w:left w:val="nil"/>
              <w:bottom w:val="single" w:sz="4" w:space="0" w:color="auto"/>
              <w:right w:val="single" w:sz="4" w:space="0" w:color="auto"/>
            </w:tcBorders>
            <w:shd w:val="clear" w:color="auto" w:fill="FFF2CC"/>
            <w:noWrap/>
            <w:vAlign w:val="bottom"/>
          </w:tcPr>
          <w:p w14:paraId="11AB09EA" w14:textId="77777777" w:rsidR="00793D69" w:rsidRPr="00793D69" w:rsidRDefault="00793D69" w:rsidP="00D73374">
            <w:pPr>
              <w:spacing w:line="276" w:lineRule="auto"/>
              <w:jc w:val="right"/>
              <w:rPr>
                <w:rFonts w:ascii="Arial" w:eastAsia="Times New Roman" w:hAnsi="Arial" w:cs="Arial"/>
                <w:b/>
                <w:bCs/>
                <w:color w:val="000000"/>
                <w:sz w:val="18"/>
                <w:szCs w:val="18"/>
                <w:lang w:eastAsia="en-GB"/>
              </w:rPr>
            </w:pPr>
            <w:r w:rsidRPr="00793D69">
              <w:rPr>
                <w:rFonts w:ascii="Arial" w:eastAsia="Times New Roman" w:hAnsi="Arial" w:cs="Arial"/>
                <w:sz w:val="18"/>
                <w:szCs w:val="18"/>
                <w:lang w:eastAsia="en-GB"/>
              </w:rPr>
              <w:t>810,000</w:t>
            </w:r>
          </w:p>
        </w:tc>
        <w:tc>
          <w:tcPr>
            <w:tcW w:w="988" w:type="pct"/>
            <w:tcBorders>
              <w:top w:val="nil"/>
              <w:left w:val="nil"/>
              <w:bottom w:val="single" w:sz="4" w:space="0" w:color="auto"/>
              <w:right w:val="single" w:sz="4" w:space="0" w:color="auto"/>
            </w:tcBorders>
            <w:shd w:val="clear" w:color="auto" w:fill="FFF2CC"/>
            <w:noWrap/>
            <w:vAlign w:val="bottom"/>
          </w:tcPr>
          <w:p w14:paraId="69A8225C" w14:textId="77777777" w:rsidR="00793D69" w:rsidRPr="00793D69" w:rsidRDefault="00793D69" w:rsidP="00D73374">
            <w:pPr>
              <w:spacing w:line="276" w:lineRule="auto"/>
              <w:jc w:val="right"/>
              <w:rPr>
                <w:rFonts w:ascii="Arial" w:eastAsia="Times New Roman" w:hAnsi="Arial" w:cs="Arial"/>
                <w:b/>
                <w:bCs/>
                <w:color w:val="000000"/>
                <w:sz w:val="18"/>
                <w:szCs w:val="18"/>
                <w:lang w:eastAsia="en-GB"/>
              </w:rPr>
            </w:pPr>
            <w:r w:rsidRPr="00793D69">
              <w:rPr>
                <w:rFonts w:ascii="Arial" w:eastAsia="Times New Roman" w:hAnsi="Arial" w:cs="Arial"/>
                <w:sz w:val="18"/>
                <w:szCs w:val="18"/>
                <w:lang w:eastAsia="en-GB"/>
              </w:rPr>
              <w:t>702,000</w:t>
            </w:r>
          </w:p>
        </w:tc>
        <w:tc>
          <w:tcPr>
            <w:tcW w:w="954" w:type="pct"/>
            <w:tcBorders>
              <w:top w:val="nil"/>
              <w:left w:val="nil"/>
              <w:bottom w:val="single" w:sz="4" w:space="0" w:color="auto"/>
              <w:right w:val="single" w:sz="4" w:space="0" w:color="auto"/>
            </w:tcBorders>
            <w:shd w:val="clear" w:color="auto" w:fill="FFF2CC"/>
            <w:noWrap/>
            <w:vAlign w:val="bottom"/>
          </w:tcPr>
          <w:p w14:paraId="723B00C8"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466,000</w:t>
            </w:r>
          </w:p>
        </w:tc>
      </w:tr>
      <w:tr w:rsidR="00793D69" w:rsidRPr="00793D69" w14:paraId="589B526A" w14:textId="77777777" w:rsidTr="00793D69">
        <w:trPr>
          <w:trHeight w:val="255"/>
        </w:trPr>
        <w:tc>
          <w:tcPr>
            <w:tcW w:w="1999" w:type="pct"/>
            <w:tcBorders>
              <w:top w:val="nil"/>
              <w:left w:val="single" w:sz="4" w:space="0" w:color="auto"/>
              <w:bottom w:val="single" w:sz="4" w:space="0" w:color="auto"/>
              <w:right w:val="single" w:sz="4" w:space="0" w:color="auto"/>
            </w:tcBorders>
            <w:shd w:val="clear" w:color="auto" w:fill="FFF2CC"/>
            <w:vAlign w:val="bottom"/>
            <w:hideMark/>
          </w:tcPr>
          <w:p w14:paraId="160A4E6B" w14:textId="77777777" w:rsidR="00793D69" w:rsidRPr="00793D69" w:rsidRDefault="00793D69" w:rsidP="00D73374">
            <w:pPr>
              <w:spacing w:line="276" w:lineRule="auto"/>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Crushed Rock consumed in West Yorkshire (tonnes)</w:t>
            </w:r>
          </w:p>
        </w:tc>
        <w:tc>
          <w:tcPr>
            <w:tcW w:w="1059" w:type="pct"/>
            <w:tcBorders>
              <w:top w:val="nil"/>
              <w:left w:val="nil"/>
              <w:bottom w:val="single" w:sz="4" w:space="0" w:color="auto"/>
              <w:right w:val="single" w:sz="4" w:space="0" w:color="auto"/>
            </w:tcBorders>
            <w:shd w:val="clear" w:color="auto" w:fill="FFF2CC"/>
            <w:noWrap/>
            <w:vAlign w:val="bottom"/>
          </w:tcPr>
          <w:p w14:paraId="246F1F50" w14:textId="77777777" w:rsidR="00793D69" w:rsidRPr="00793D69" w:rsidRDefault="00793D69" w:rsidP="00D73374">
            <w:pPr>
              <w:spacing w:line="276" w:lineRule="auto"/>
              <w:jc w:val="right"/>
              <w:rPr>
                <w:rFonts w:ascii="Arial" w:eastAsia="Times New Roman" w:hAnsi="Arial" w:cs="Arial"/>
                <w:b/>
                <w:bCs/>
                <w:color w:val="000000"/>
                <w:sz w:val="18"/>
                <w:szCs w:val="18"/>
                <w:lang w:eastAsia="en-GB"/>
              </w:rPr>
            </w:pPr>
            <w:r w:rsidRPr="00793D69">
              <w:rPr>
                <w:rFonts w:ascii="Arial" w:eastAsia="Times New Roman" w:hAnsi="Arial" w:cs="Arial"/>
                <w:sz w:val="18"/>
                <w:szCs w:val="18"/>
                <w:lang w:eastAsia="en-GB"/>
              </w:rPr>
              <w:t>2,332,000</w:t>
            </w:r>
          </w:p>
        </w:tc>
        <w:tc>
          <w:tcPr>
            <w:tcW w:w="988" w:type="pct"/>
            <w:tcBorders>
              <w:top w:val="nil"/>
              <w:left w:val="nil"/>
              <w:bottom w:val="single" w:sz="4" w:space="0" w:color="auto"/>
              <w:right w:val="single" w:sz="4" w:space="0" w:color="auto"/>
            </w:tcBorders>
            <w:shd w:val="clear" w:color="auto" w:fill="FFF2CC"/>
            <w:noWrap/>
            <w:vAlign w:val="bottom"/>
          </w:tcPr>
          <w:p w14:paraId="5610FBA1" w14:textId="77777777" w:rsidR="00793D69" w:rsidRPr="00793D69" w:rsidRDefault="00793D69" w:rsidP="00D73374">
            <w:pPr>
              <w:spacing w:line="276" w:lineRule="auto"/>
              <w:jc w:val="right"/>
              <w:rPr>
                <w:rFonts w:ascii="Arial" w:eastAsia="Times New Roman" w:hAnsi="Arial" w:cs="Arial"/>
                <w:b/>
                <w:bCs/>
                <w:color w:val="000000"/>
                <w:sz w:val="18"/>
                <w:szCs w:val="18"/>
                <w:lang w:eastAsia="en-GB"/>
              </w:rPr>
            </w:pPr>
            <w:r w:rsidRPr="00793D69">
              <w:rPr>
                <w:rFonts w:ascii="Arial" w:eastAsia="Times New Roman" w:hAnsi="Arial" w:cs="Arial"/>
                <w:sz w:val="18"/>
                <w:szCs w:val="18"/>
                <w:lang w:eastAsia="en-GB"/>
              </w:rPr>
              <w:t>2,356,000</w:t>
            </w:r>
          </w:p>
        </w:tc>
        <w:tc>
          <w:tcPr>
            <w:tcW w:w="954" w:type="pct"/>
            <w:tcBorders>
              <w:top w:val="nil"/>
              <w:left w:val="nil"/>
              <w:bottom w:val="single" w:sz="4" w:space="0" w:color="auto"/>
              <w:right w:val="single" w:sz="4" w:space="0" w:color="auto"/>
            </w:tcBorders>
            <w:shd w:val="clear" w:color="auto" w:fill="FFF2CC"/>
            <w:noWrap/>
            <w:vAlign w:val="bottom"/>
          </w:tcPr>
          <w:p w14:paraId="649238D6"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color w:val="000000"/>
                <w:sz w:val="18"/>
                <w:szCs w:val="18"/>
                <w:lang w:eastAsia="en-GB"/>
              </w:rPr>
              <w:t>2,342,000</w:t>
            </w:r>
          </w:p>
        </w:tc>
      </w:tr>
      <w:tr w:rsidR="00793D69" w:rsidRPr="00793D69" w14:paraId="2E18B16C" w14:textId="77777777" w:rsidTr="00793D69">
        <w:trPr>
          <w:trHeight w:val="255"/>
        </w:trPr>
        <w:tc>
          <w:tcPr>
            <w:tcW w:w="1999" w:type="pct"/>
            <w:tcBorders>
              <w:top w:val="nil"/>
              <w:left w:val="single" w:sz="4" w:space="0" w:color="auto"/>
              <w:bottom w:val="single" w:sz="4" w:space="0" w:color="auto"/>
              <w:right w:val="single" w:sz="4" w:space="0" w:color="auto"/>
            </w:tcBorders>
            <w:shd w:val="clear" w:color="auto" w:fill="FFF2CC"/>
            <w:vAlign w:val="bottom"/>
            <w:hideMark/>
          </w:tcPr>
          <w:p w14:paraId="59B5A331" w14:textId="77777777" w:rsidR="00793D69" w:rsidRPr="00793D69" w:rsidRDefault="00793D69" w:rsidP="00D73374">
            <w:pPr>
              <w:spacing w:line="276" w:lineRule="auto"/>
              <w:rPr>
                <w:rFonts w:ascii="Arial" w:eastAsia="Times New Roman" w:hAnsi="Arial" w:cs="Arial"/>
                <w:b/>
                <w:bCs/>
                <w:color w:val="000000"/>
                <w:sz w:val="18"/>
                <w:szCs w:val="18"/>
                <w:lang w:eastAsia="en-GB"/>
              </w:rPr>
            </w:pPr>
            <w:r w:rsidRPr="00793D69">
              <w:rPr>
                <w:rFonts w:ascii="Arial" w:eastAsia="Times New Roman" w:hAnsi="Arial" w:cs="Arial"/>
                <w:b/>
                <w:bCs/>
                <w:color w:val="000000"/>
                <w:sz w:val="18"/>
                <w:szCs w:val="18"/>
                <w:lang w:eastAsia="en-GB"/>
              </w:rPr>
              <w:t>Total Consumption (tonnes)</w:t>
            </w:r>
          </w:p>
        </w:tc>
        <w:tc>
          <w:tcPr>
            <w:tcW w:w="1059" w:type="pct"/>
            <w:tcBorders>
              <w:top w:val="nil"/>
              <w:left w:val="nil"/>
              <w:bottom w:val="single" w:sz="4" w:space="0" w:color="auto"/>
              <w:right w:val="single" w:sz="4" w:space="0" w:color="auto"/>
            </w:tcBorders>
            <w:shd w:val="clear" w:color="auto" w:fill="FFF2CC"/>
            <w:noWrap/>
            <w:vAlign w:val="bottom"/>
          </w:tcPr>
          <w:p w14:paraId="28428437" w14:textId="77777777" w:rsidR="00793D69" w:rsidRPr="00793D69" w:rsidRDefault="00793D69" w:rsidP="00D73374">
            <w:pPr>
              <w:spacing w:line="276" w:lineRule="auto"/>
              <w:jc w:val="right"/>
              <w:rPr>
                <w:rFonts w:ascii="Arial" w:eastAsia="Times New Roman" w:hAnsi="Arial" w:cs="Arial"/>
                <w:b/>
                <w:bCs/>
                <w:color w:val="000000"/>
                <w:sz w:val="18"/>
                <w:szCs w:val="18"/>
                <w:lang w:eastAsia="en-GB"/>
              </w:rPr>
            </w:pPr>
            <w:r w:rsidRPr="00793D69">
              <w:rPr>
                <w:rFonts w:ascii="Arial" w:eastAsia="Times New Roman" w:hAnsi="Arial" w:cs="Arial"/>
                <w:b/>
                <w:bCs/>
                <w:sz w:val="18"/>
                <w:szCs w:val="18"/>
                <w:lang w:eastAsia="en-GB"/>
              </w:rPr>
              <w:t>3,142,000</w:t>
            </w:r>
          </w:p>
        </w:tc>
        <w:tc>
          <w:tcPr>
            <w:tcW w:w="988" w:type="pct"/>
            <w:tcBorders>
              <w:top w:val="nil"/>
              <w:left w:val="nil"/>
              <w:bottom w:val="single" w:sz="4" w:space="0" w:color="auto"/>
              <w:right w:val="single" w:sz="4" w:space="0" w:color="auto"/>
            </w:tcBorders>
            <w:shd w:val="clear" w:color="auto" w:fill="FFF2CC"/>
            <w:noWrap/>
            <w:vAlign w:val="bottom"/>
          </w:tcPr>
          <w:p w14:paraId="1AD6FDA9" w14:textId="77777777" w:rsidR="00793D69" w:rsidRPr="00793D69" w:rsidRDefault="00793D69" w:rsidP="00D73374">
            <w:pPr>
              <w:spacing w:line="276" w:lineRule="auto"/>
              <w:jc w:val="right"/>
              <w:rPr>
                <w:rFonts w:ascii="Arial" w:eastAsia="Times New Roman" w:hAnsi="Arial" w:cs="Arial"/>
                <w:b/>
                <w:bCs/>
                <w:color w:val="000000"/>
                <w:sz w:val="18"/>
                <w:szCs w:val="18"/>
                <w:lang w:eastAsia="en-GB"/>
              </w:rPr>
            </w:pPr>
            <w:r w:rsidRPr="00793D69">
              <w:rPr>
                <w:rFonts w:ascii="Arial" w:eastAsia="Times New Roman" w:hAnsi="Arial" w:cs="Arial"/>
                <w:b/>
                <w:bCs/>
                <w:sz w:val="18"/>
                <w:szCs w:val="18"/>
                <w:lang w:eastAsia="en-GB"/>
              </w:rPr>
              <w:t>3,058,000</w:t>
            </w:r>
          </w:p>
        </w:tc>
        <w:tc>
          <w:tcPr>
            <w:tcW w:w="954" w:type="pct"/>
            <w:tcBorders>
              <w:top w:val="nil"/>
              <w:left w:val="nil"/>
              <w:bottom w:val="single" w:sz="4" w:space="0" w:color="auto"/>
              <w:right w:val="single" w:sz="4" w:space="0" w:color="auto"/>
            </w:tcBorders>
            <w:shd w:val="clear" w:color="auto" w:fill="FFF2CC"/>
            <w:noWrap/>
            <w:vAlign w:val="bottom"/>
          </w:tcPr>
          <w:p w14:paraId="44CE0167" w14:textId="77777777" w:rsidR="00793D69" w:rsidRPr="00793D69" w:rsidRDefault="00793D69" w:rsidP="00D73374">
            <w:pPr>
              <w:spacing w:line="276" w:lineRule="auto"/>
              <w:jc w:val="right"/>
              <w:rPr>
                <w:rFonts w:ascii="Arial" w:eastAsia="Times New Roman" w:hAnsi="Arial" w:cs="Arial"/>
                <w:color w:val="000000"/>
                <w:sz w:val="18"/>
                <w:szCs w:val="18"/>
                <w:lang w:eastAsia="en-GB"/>
              </w:rPr>
            </w:pPr>
            <w:r w:rsidRPr="00793D69">
              <w:rPr>
                <w:rFonts w:ascii="Arial" w:eastAsia="Times New Roman" w:hAnsi="Arial" w:cs="Arial"/>
                <w:b/>
                <w:bCs/>
                <w:color w:val="000000"/>
                <w:sz w:val="18"/>
                <w:szCs w:val="18"/>
                <w:lang w:eastAsia="en-GB"/>
              </w:rPr>
              <w:t>2,808,000</w:t>
            </w:r>
          </w:p>
        </w:tc>
      </w:tr>
    </w:tbl>
    <w:p w14:paraId="3E277267" w14:textId="257BF607" w:rsidR="00793D69" w:rsidRPr="00A907AC" w:rsidRDefault="00793D69" w:rsidP="00D73374">
      <w:pPr>
        <w:spacing w:line="276" w:lineRule="auto"/>
        <w:rPr>
          <w:rFonts w:ascii="Calibri" w:eastAsia="Calibri" w:hAnsi="Calibri" w:cs="Times New Roman"/>
          <w:color w:val="FF0000"/>
        </w:rPr>
      </w:pPr>
      <w:r w:rsidRPr="00793D69">
        <w:rPr>
          <w:rFonts w:ascii="Calibri" w:eastAsia="Calibri" w:hAnsi="Calibri" w:cs="Times New Roman"/>
          <w:color w:val="FF0000"/>
        </w:rPr>
        <w:t>*Figures in red are the average of financial years 2018-2019 and 2019-2020.</w:t>
      </w:r>
    </w:p>
    <w:p w14:paraId="0A5CB91B" w14:textId="4FA16279" w:rsidR="005E38EE" w:rsidRDefault="005E38EE">
      <w:pPr>
        <w:spacing w:after="160" w:line="259" w:lineRule="auto"/>
        <w:rPr>
          <w:rFonts w:ascii="Calibri" w:eastAsia="Calibri" w:hAnsi="Calibri" w:cs="Times New Roman"/>
          <w:u w:val="single"/>
        </w:rPr>
      </w:pPr>
      <w:r>
        <w:rPr>
          <w:rFonts w:ascii="Calibri" w:eastAsia="Calibri" w:hAnsi="Calibri" w:cs="Times New Roman"/>
          <w:u w:val="single"/>
        </w:rPr>
        <w:br w:type="page"/>
      </w:r>
    </w:p>
    <w:p w14:paraId="7D4BADD8" w14:textId="338BE54E" w:rsidR="00793D69" w:rsidRPr="0058489E" w:rsidRDefault="00AE28A8" w:rsidP="0058489E">
      <w:pPr>
        <w:pStyle w:val="Sub-heading"/>
        <w:spacing w:before="240" w:after="240" w:line="276" w:lineRule="auto"/>
        <w:jc w:val="left"/>
        <w:outlineLvl w:val="1"/>
        <w:rPr>
          <w:color w:val="auto"/>
          <w:sz w:val="20"/>
        </w:rPr>
      </w:pPr>
      <w:bookmarkStart w:id="89" w:name="_Toc198549830"/>
      <w:r w:rsidRPr="0058489E">
        <w:rPr>
          <w:color w:val="auto"/>
          <w:sz w:val="20"/>
        </w:rPr>
        <w:lastRenderedPageBreak/>
        <w:t xml:space="preserve">Appendix </w:t>
      </w:r>
      <w:r w:rsidR="0058489E" w:rsidRPr="0058489E">
        <w:rPr>
          <w:color w:val="auto"/>
          <w:sz w:val="20"/>
        </w:rPr>
        <w:t>Four</w:t>
      </w:r>
      <w:r w:rsidR="0058489E">
        <w:rPr>
          <w:color w:val="auto"/>
          <w:sz w:val="20"/>
        </w:rPr>
        <w:t>.</w:t>
      </w:r>
      <w:bookmarkEnd w:id="89"/>
    </w:p>
    <w:tbl>
      <w:tblPr>
        <w:tblW w:w="5000" w:type="pct"/>
        <w:tblLook w:val="04A0" w:firstRow="1" w:lastRow="0" w:firstColumn="1" w:lastColumn="0" w:noHBand="0" w:noVBand="1"/>
      </w:tblPr>
      <w:tblGrid>
        <w:gridCol w:w="266"/>
        <w:gridCol w:w="1796"/>
        <w:gridCol w:w="12144"/>
        <w:gridCol w:w="222"/>
      </w:tblGrid>
      <w:tr w:rsidR="005E38EE" w:rsidRPr="005E38EE" w14:paraId="6C158992" w14:textId="77777777" w:rsidTr="00AE28A8">
        <w:trPr>
          <w:gridAfter w:val="1"/>
          <w:wAfter w:w="49" w:type="pct"/>
          <w:trHeight w:val="420"/>
        </w:trPr>
        <w:tc>
          <w:tcPr>
            <w:tcW w:w="4951" w:type="pct"/>
            <w:gridSpan w:val="3"/>
            <w:shd w:val="clear" w:color="auto" w:fill="auto"/>
            <w:noWrap/>
            <w:vAlign w:val="bottom"/>
            <w:hideMark/>
          </w:tcPr>
          <w:p w14:paraId="79812FD9" w14:textId="7AB94B99" w:rsidR="005E38EE" w:rsidRPr="005E38EE" w:rsidRDefault="00A231DF" w:rsidP="005E38EE">
            <w:pPr>
              <w:rPr>
                <w:rFonts w:ascii="Calibri" w:eastAsia="Times New Roman" w:hAnsi="Calibri" w:cs="Calibri"/>
                <w:b/>
                <w:bCs/>
                <w:color w:val="000000"/>
                <w:sz w:val="32"/>
                <w:szCs w:val="32"/>
                <w:lang w:eastAsia="en-GB"/>
              </w:rPr>
            </w:pPr>
            <w:r>
              <w:rPr>
                <w:rFonts w:ascii="Calibri" w:eastAsia="Times New Roman" w:hAnsi="Calibri" w:cs="Calibri"/>
                <w:b/>
                <w:bCs/>
                <w:color w:val="000000"/>
                <w:sz w:val="32"/>
                <w:szCs w:val="32"/>
                <w:lang w:eastAsia="en-GB"/>
              </w:rPr>
              <w:t xml:space="preserve">EA WDI - </w:t>
            </w:r>
            <w:r w:rsidR="005E38EE" w:rsidRPr="005E38EE">
              <w:rPr>
                <w:rFonts w:ascii="Calibri" w:eastAsia="Times New Roman" w:hAnsi="Calibri" w:cs="Calibri"/>
                <w:b/>
                <w:bCs/>
                <w:color w:val="000000"/>
                <w:sz w:val="32"/>
                <w:szCs w:val="32"/>
                <w:lang w:eastAsia="en-GB"/>
              </w:rPr>
              <w:t>Notes on Site Categories</w:t>
            </w:r>
          </w:p>
        </w:tc>
      </w:tr>
      <w:tr w:rsidR="005E38EE" w:rsidRPr="005E38EE" w14:paraId="615DB920" w14:textId="77777777" w:rsidTr="00AE28A8">
        <w:trPr>
          <w:gridAfter w:val="1"/>
          <w:wAfter w:w="49" w:type="pct"/>
          <w:trHeight w:val="147"/>
        </w:trPr>
        <w:tc>
          <w:tcPr>
            <w:tcW w:w="59" w:type="pct"/>
            <w:shd w:val="clear" w:color="auto" w:fill="auto"/>
            <w:noWrap/>
            <w:vAlign w:val="bottom"/>
            <w:hideMark/>
          </w:tcPr>
          <w:p w14:paraId="114B9C0E"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w:t>
            </w:r>
          </w:p>
        </w:tc>
        <w:tc>
          <w:tcPr>
            <w:tcW w:w="653" w:type="pct"/>
            <w:shd w:val="clear" w:color="auto" w:fill="auto"/>
            <w:noWrap/>
            <w:vAlign w:val="bottom"/>
            <w:hideMark/>
          </w:tcPr>
          <w:p w14:paraId="1CAE7BDC" w14:textId="77777777" w:rsidR="005E38EE" w:rsidRPr="005E38EE" w:rsidRDefault="005E38EE" w:rsidP="005E38EE">
            <w:pPr>
              <w:rPr>
                <w:rFonts w:ascii="Calibri" w:eastAsia="Times New Roman" w:hAnsi="Calibri" w:cs="Calibri"/>
                <w:color w:val="000000"/>
                <w:lang w:eastAsia="en-GB"/>
              </w:rPr>
            </w:pPr>
          </w:p>
        </w:tc>
        <w:tc>
          <w:tcPr>
            <w:tcW w:w="4239" w:type="pct"/>
            <w:shd w:val="clear" w:color="auto" w:fill="auto"/>
            <w:noWrap/>
            <w:vAlign w:val="bottom"/>
            <w:hideMark/>
          </w:tcPr>
          <w:p w14:paraId="6CD2784B" w14:textId="77777777" w:rsidR="005E38EE" w:rsidRPr="005E38EE" w:rsidRDefault="005E38EE" w:rsidP="005E38EE">
            <w:pPr>
              <w:rPr>
                <w:rFonts w:ascii="Times New Roman" w:eastAsia="Times New Roman" w:hAnsi="Times New Roman" w:cs="Times New Roman"/>
                <w:sz w:val="20"/>
                <w:szCs w:val="20"/>
                <w:lang w:eastAsia="en-GB"/>
              </w:rPr>
            </w:pPr>
          </w:p>
        </w:tc>
      </w:tr>
      <w:tr w:rsidR="005E38EE" w:rsidRPr="005E38EE" w14:paraId="3AEE905E" w14:textId="77777777" w:rsidTr="00AE28A8">
        <w:trPr>
          <w:gridAfter w:val="1"/>
          <w:wAfter w:w="49" w:type="pct"/>
          <w:trHeight w:val="450"/>
        </w:trPr>
        <w:tc>
          <w:tcPr>
            <w:tcW w:w="4951" w:type="pct"/>
            <w:gridSpan w:val="3"/>
            <w:vMerge w:val="restart"/>
            <w:shd w:val="clear" w:color="auto" w:fill="auto"/>
            <w:vAlign w:val="bottom"/>
            <w:hideMark/>
          </w:tcPr>
          <w:p w14:paraId="6393DF68" w14:textId="77777777" w:rsidR="005E38EE" w:rsidRPr="005E38EE" w:rsidRDefault="005E38EE" w:rsidP="005E38EE">
            <w:pPr>
              <w:rPr>
                <w:rFonts w:ascii="Calibri" w:eastAsia="Times New Roman" w:hAnsi="Calibri" w:cs="Calibri"/>
                <w:color w:val="000000"/>
                <w:sz w:val="28"/>
                <w:szCs w:val="28"/>
                <w:lang w:eastAsia="en-GB"/>
              </w:rPr>
            </w:pPr>
            <w:r w:rsidRPr="005E38EE">
              <w:rPr>
                <w:rFonts w:ascii="Calibri" w:eastAsia="Times New Roman" w:hAnsi="Calibri" w:cs="Calibri"/>
                <w:color w:val="000000"/>
                <w:sz w:val="28"/>
                <w:szCs w:val="28"/>
                <w:lang w:eastAsia="en-GB"/>
              </w:rPr>
              <w:t>The WDI has historically published data from permitted facilities which fall under six main site categories: Landfill, MRS, On/In Land, Transfer, Treatment, and Use of Waste. From 2019, data from all site categories will now be published. Notes on all site categories can be found below.</w:t>
            </w:r>
          </w:p>
        </w:tc>
      </w:tr>
      <w:tr w:rsidR="005E38EE" w:rsidRPr="005E38EE" w14:paraId="50C7115A" w14:textId="77777777" w:rsidTr="00AE28A8">
        <w:trPr>
          <w:trHeight w:val="387"/>
        </w:trPr>
        <w:tc>
          <w:tcPr>
            <w:tcW w:w="4951" w:type="pct"/>
            <w:gridSpan w:val="3"/>
            <w:vMerge/>
            <w:vAlign w:val="center"/>
            <w:hideMark/>
          </w:tcPr>
          <w:p w14:paraId="6D253C17" w14:textId="77777777" w:rsidR="005E38EE" w:rsidRPr="005E38EE" w:rsidRDefault="005E38EE" w:rsidP="005E38EE">
            <w:pPr>
              <w:rPr>
                <w:rFonts w:ascii="Calibri" w:eastAsia="Times New Roman" w:hAnsi="Calibri" w:cs="Calibri"/>
                <w:color w:val="000000"/>
                <w:sz w:val="28"/>
                <w:szCs w:val="28"/>
                <w:lang w:eastAsia="en-GB"/>
              </w:rPr>
            </w:pPr>
          </w:p>
        </w:tc>
        <w:tc>
          <w:tcPr>
            <w:tcW w:w="49" w:type="pct"/>
            <w:shd w:val="clear" w:color="auto" w:fill="auto"/>
            <w:noWrap/>
            <w:vAlign w:val="bottom"/>
            <w:hideMark/>
          </w:tcPr>
          <w:p w14:paraId="487F254F" w14:textId="77777777" w:rsidR="005E38EE" w:rsidRPr="005E38EE" w:rsidRDefault="005E38EE" w:rsidP="005E38EE">
            <w:pPr>
              <w:rPr>
                <w:rFonts w:ascii="Calibri" w:eastAsia="Times New Roman" w:hAnsi="Calibri" w:cs="Calibri"/>
                <w:color w:val="000000"/>
                <w:sz w:val="28"/>
                <w:szCs w:val="28"/>
                <w:lang w:eastAsia="en-GB"/>
              </w:rPr>
            </w:pPr>
          </w:p>
        </w:tc>
      </w:tr>
      <w:tr w:rsidR="005E38EE" w:rsidRPr="005E38EE" w14:paraId="10242FBC" w14:textId="77777777" w:rsidTr="00AE28A8">
        <w:trPr>
          <w:trHeight w:val="147"/>
        </w:trPr>
        <w:tc>
          <w:tcPr>
            <w:tcW w:w="59" w:type="pct"/>
            <w:shd w:val="clear" w:color="auto" w:fill="auto"/>
            <w:noWrap/>
            <w:vAlign w:val="bottom"/>
            <w:hideMark/>
          </w:tcPr>
          <w:p w14:paraId="7FF198BC"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w:t>
            </w:r>
          </w:p>
        </w:tc>
        <w:tc>
          <w:tcPr>
            <w:tcW w:w="653" w:type="pct"/>
            <w:shd w:val="clear" w:color="auto" w:fill="auto"/>
            <w:noWrap/>
            <w:vAlign w:val="bottom"/>
            <w:hideMark/>
          </w:tcPr>
          <w:p w14:paraId="727D6BD7" w14:textId="77777777" w:rsidR="005E38EE" w:rsidRPr="005E38EE" w:rsidRDefault="005E38EE" w:rsidP="005E38EE">
            <w:pPr>
              <w:rPr>
                <w:rFonts w:ascii="Calibri" w:eastAsia="Times New Roman" w:hAnsi="Calibri" w:cs="Calibri"/>
                <w:color w:val="000000"/>
                <w:lang w:eastAsia="en-GB"/>
              </w:rPr>
            </w:pPr>
          </w:p>
        </w:tc>
        <w:tc>
          <w:tcPr>
            <w:tcW w:w="4239" w:type="pct"/>
            <w:shd w:val="clear" w:color="auto" w:fill="auto"/>
            <w:noWrap/>
            <w:vAlign w:val="bottom"/>
            <w:hideMark/>
          </w:tcPr>
          <w:p w14:paraId="509F0792" w14:textId="77777777" w:rsidR="005E38EE" w:rsidRPr="005E38EE" w:rsidRDefault="005E38EE" w:rsidP="005E38EE">
            <w:pPr>
              <w:rPr>
                <w:rFonts w:ascii="Times New Roman" w:eastAsia="Times New Roman" w:hAnsi="Times New Roman" w:cs="Times New Roman"/>
                <w:sz w:val="20"/>
                <w:szCs w:val="20"/>
                <w:lang w:eastAsia="en-GB"/>
              </w:rPr>
            </w:pPr>
          </w:p>
        </w:tc>
        <w:tc>
          <w:tcPr>
            <w:tcW w:w="49" w:type="pct"/>
            <w:vAlign w:val="center"/>
            <w:hideMark/>
          </w:tcPr>
          <w:p w14:paraId="7FF25E9A" w14:textId="77777777" w:rsidR="005E38EE" w:rsidRPr="005E38EE" w:rsidRDefault="005E38EE" w:rsidP="005E38EE">
            <w:pPr>
              <w:rPr>
                <w:rFonts w:ascii="Times New Roman" w:eastAsia="Times New Roman" w:hAnsi="Times New Roman" w:cs="Times New Roman"/>
                <w:sz w:val="20"/>
                <w:szCs w:val="20"/>
                <w:lang w:eastAsia="en-GB"/>
              </w:rPr>
            </w:pPr>
          </w:p>
        </w:tc>
      </w:tr>
      <w:tr w:rsidR="005E38EE" w:rsidRPr="005E38EE" w14:paraId="45E769A7" w14:textId="77777777" w:rsidTr="00AE28A8">
        <w:trPr>
          <w:trHeight w:val="574"/>
        </w:trPr>
        <w:tc>
          <w:tcPr>
            <w:tcW w:w="59" w:type="pct"/>
            <w:shd w:val="clear" w:color="auto" w:fill="auto"/>
            <w:noWrap/>
            <w:vAlign w:val="bottom"/>
            <w:hideMark/>
          </w:tcPr>
          <w:p w14:paraId="57480774"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w:t>
            </w:r>
          </w:p>
        </w:tc>
        <w:tc>
          <w:tcPr>
            <w:tcW w:w="653" w:type="pct"/>
            <w:shd w:val="clear" w:color="000000" w:fill="C4D79B"/>
            <w:noWrap/>
            <w:vAlign w:val="center"/>
            <w:hideMark/>
          </w:tcPr>
          <w:p w14:paraId="0152C3E9" w14:textId="77777777" w:rsidR="005E38EE" w:rsidRPr="005E38EE" w:rsidRDefault="005E38EE" w:rsidP="005E38EE">
            <w:pPr>
              <w:rPr>
                <w:rFonts w:ascii="Calibri" w:eastAsia="Times New Roman" w:hAnsi="Calibri" w:cs="Calibri"/>
                <w:b/>
                <w:bCs/>
                <w:lang w:eastAsia="en-GB"/>
              </w:rPr>
            </w:pPr>
            <w:r w:rsidRPr="005E38EE">
              <w:rPr>
                <w:rFonts w:ascii="Calibri" w:eastAsia="Times New Roman" w:hAnsi="Calibri" w:cs="Calibri"/>
                <w:b/>
                <w:bCs/>
                <w:lang w:eastAsia="en-GB"/>
              </w:rPr>
              <w:t>Site Category</w:t>
            </w:r>
          </w:p>
        </w:tc>
        <w:tc>
          <w:tcPr>
            <w:tcW w:w="4239" w:type="pct"/>
            <w:shd w:val="clear" w:color="000000" w:fill="C4D79B"/>
            <w:noWrap/>
            <w:vAlign w:val="center"/>
            <w:hideMark/>
          </w:tcPr>
          <w:p w14:paraId="5F328228" w14:textId="77777777" w:rsidR="005E38EE" w:rsidRPr="005E38EE" w:rsidRDefault="005E38EE" w:rsidP="005E38EE">
            <w:pPr>
              <w:rPr>
                <w:rFonts w:ascii="Calibri" w:eastAsia="Times New Roman" w:hAnsi="Calibri" w:cs="Calibri"/>
                <w:b/>
                <w:bCs/>
                <w:lang w:eastAsia="en-GB"/>
              </w:rPr>
            </w:pPr>
            <w:r w:rsidRPr="005E38EE">
              <w:rPr>
                <w:rFonts w:ascii="Calibri" w:eastAsia="Times New Roman" w:hAnsi="Calibri" w:cs="Calibri"/>
                <w:b/>
                <w:bCs/>
                <w:lang w:eastAsia="en-GB"/>
              </w:rPr>
              <w:t>Notes</w:t>
            </w:r>
          </w:p>
        </w:tc>
        <w:tc>
          <w:tcPr>
            <w:tcW w:w="49" w:type="pct"/>
            <w:vAlign w:val="center"/>
            <w:hideMark/>
          </w:tcPr>
          <w:p w14:paraId="2FB8216F" w14:textId="77777777" w:rsidR="005E38EE" w:rsidRPr="005E38EE" w:rsidRDefault="005E38EE" w:rsidP="005E38EE">
            <w:pPr>
              <w:rPr>
                <w:rFonts w:ascii="Times New Roman" w:eastAsia="Times New Roman" w:hAnsi="Times New Roman" w:cs="Times New Roman"/>
                <w:sz w:val="20"/>
                <w:szCs w:val="20"/>
                <w:lang w:eastAsia="en-GB"/>
              </w:rPr>
            </w:pPr>
          </w:p>
        </w:tc>
      </w:tr>
      <w:tr w:rsidR="005E38EE" w:rsidRPr="005E38EE" w14:paraId="0B7DDF42" w14:textId="77777777" w:rsidTr="00AE28A8">
        <w:trPr>
          <w:trHeight w:val="574"/>
        </w:trPr>
        <w:tc>
          <w:tcPr>
            <w:tcW w:w="59" w:type="pct"/>
            <w:shd w:val="clear" w:color="auto" w:fill="auto"/>
            <w:noWrap/>
            <w:vAlign w:val="bottom"/>
            <w:hideMark/>
          </w:tcPr>
          <w:p w14:paraId="59CD0CB3"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w:t>
            </w:r>
          </w:p>
        </w:tc>
        <w:tc>
          <w:tcPr>
            <w:tcW w:w="653" w:type="pct"/>
            <w:shd w:val="clear" w:color="auto" w:fill="auto"/>
            <w:vAlign w:val="center"/>
            <w:hideMark/>
          </w:tcPr>
          <w:p w14:paraId="2A6D117C" w14:textId="77777777" w:rsidR="005E38EE" w:rsidRPr="005E38EE" w:rsidRDefault="005E38EE" w:rsidP="005E38EE">
            <w:pPr>
              <w:rPr>
                <w:rFonts w:ascii="Calibri" w:eastAsia="Times New Roman" w:hAnsi="Calibri" w:cs="Calibri"/>
                <w:lang w:eastAsia="en-GB"/>
              </w:rPr>
            </w:pPr>
            <w:r w:rsidRPr="005E38EE">
              <w:rPr>
                <w:rFonts w:ascii="Calibri" w:eastAsia="Times New Roman" w:hAnsi="Calibri" w:cs="Calibri"/>
                <w:lang w:eastAsia="en-GB"/>
              </w:rPr>
              <w:t>Landfill</w:t>
            </w:r>
          </w:p>
        </w:tc>
        <w:tc>
          <w:tcPr>
            <w:tcW w:w="4239" w:type="pct"/>
            <w:shd w:val="clear" w:color="auto" w:fill="auto"/>
            <w:vAlign w:val="center"/>
            <w:hideMark/>
          </w:tcPr>
          <w:p w14:paraId="35448F73" w14:textId="77777777" w:rsidR="005E38EE" w:rsidRPr="005E38EE" w:rsidRDefault="005E38EE" w:rsidP="005E38EE">
            <w:pPr>
              <w:rPr>
                <w:rFonts w:ascii="Calibri" w:eastAsia="Times New Roman" w:hAnsi="Calibri" w:cs="Calibri"/>
                <w:lang w:eastAsia="en-GB"/>
              </w:rPr>
            </w:pPr>
            <w:r w:rsidRPr="005E38EE">
              <w:rPr>
                <w:rFonts w:ascii="Calibri" w:eastAsia="Times New Roman" w:hAnsi="Calibri" w:cs="Calibri"/>
                <w:lang w:eastAsia="en-GB"/>
              </w:rPr>
              <w:t>This category relates to permitted sites used for the deposit of waste into or on land.</w:t>
            </w:r>
          </w:p>
        </w:tc>
        <w:tc>
          <w:tcPr>
            <w:tcW w:w="49" w:type="pct"/>
            <w:vAlign w:val="center"/>
            <w:hideMark/>
          </w:tcPr>
          <w:p w14:paraId="223FFA9B" w14:textId="77777777" w:rsidR="005E38EE" w:rsidRPr="005E38EE" w:rsidRDefault="005E38EE" w:rsidP="005E38EE">
            <w:pPr>
              <w:rPr>
                <w:rFonts w:ascii="Times New Roman" w:eastAsia="Times New Roman" w:hAnsi="Times New Roman" w:cs="Times New Roman"/>
                <w:sz w:val="20"/>
                <w:szCs w:val="20"/>
                <w:lang w:eastAsia="en-GB"/>
              </w:rPr>
            </w:pPr>
          </w:p>
        </w:tc>
      </w:tr>
      <w:tr w:rsidR="005E38EE" w:rsidRPr="005E38EE" w14:paraId="73484CAE" w14:textId="77777777" w:rsidTr="00AE28A8">
        <w:trPr>
          <w:trHeight w:val="840"/>
        </w:trPr>
        <w:tc>
          <w:tcPr>
            <w:tcW w:w="59" w:type="pct"/>
            <w:shd w:val="clear" w:color="auto" w:fill="auto"/>
            <w:noWrap/>
            <w:vAlign w:val="bottom"/>
            <w:hideMark/>
          </w:tcPr>
          <w:p w14:paraId="76EA9D5F"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w:t>
            </w:r>
          </w:p>
        </w:tc>
        <w:tc>
          <w:tcPr>
            <w:tcW w:w="653" w:type="pct"/>
            <w:shd w:val="clear" w:color="auto" w:fill="auto"/>
            <w:vAlign w:val="center"/>
            <w:hideMark/>
          </w:tcPr>
          <w:p w14:paraId="21A440C5" w14:textId="77777777" w:rsidR="005E38EE" w:rsidRPr="005E38EE" w:rsidRDefault="005E38EE" w:rsidP="005E38EE">
            <w:pPr>
              <w:rPr>
                <w:rFonts w:ascii="Calibri" w:eastAsia="Times New Roman" w:hAnsi="Calibri" w:cs="Calibri"/>
                <w:lang w:eastAsia="en-GB"/>
              </w:rPr>
            </w:pPr>
            <w:r w:rsidRPr="005E38EE">
              <w:rPr>
                <w:rFonts w:ascii="Calibri" w:eastAsia="Times New Roman" w:hAnsi="Calibri" w:cs="Calibri"/>
                <w:lang w:eastAsia="en-GB"/>
              </w:rPr>
              <w:t>MRS (Metal Recycling)</w:t>
            </w:r>
          </w:p>
        </w:tc>
        <w:tc>
          <w:tcPr>
            <w:tcW w:w="4239" w:type="pct"/>
            <w:shd w:val="clear" w:color="auto" w:fill="auto"/>
            <w:vAlign w:val="center"/>
            <w:hideMark/>
          </w:tcPr>
          <w:p w14:paraId="355597C4" w14:textId="77777777" w:rsidR="005E38EE" w:rsidRPr="005E38EE" w:rsidRDefault="005E38EE" w:rsidP="005E38EE">
            <w:pPr>
              <w:rPr>
                <w:rFonts w:ascii="Calibri" w:eastAsia="Times New Roman" w:hAnsi="Calibri" w:cs="Calibri"/>
                <w:lang w:eastAsia="en-GB"/>
              </w:rPr>
            </w:pPr>
            <w:r w:rsidRPr="005E38EE">
              <w:rPr>
                <w:rFonts w:ascii="Calibri" w:eastAsia="Times New Roman" w:hAnsi="Calibri" w:cs="Calibri"/>
                <w:lang w:eastAsia="en-GB"/>
              </w:rPr>
              <w:t>This category relates to permitted waste operations which predominantly recycle metal waste or dismantle larger components ready for onward transfer. Typical permit operations include metal recycling, vehicle dismantling and car breaking.  </w:t>
            </w:r>
          </w:p>
        </w:tc>
        <w:tc>
          <w:tcPr>
            <w:tcW w:w="49" w:type="pct"/>
            <w:vAlign w:val="center"/>
            <w:hideMark/>
          </w:tcPr>
          <w:p w14:paraId="2FABF7A5" w14:textId="77777777" w:rsidR="005E38EE" w:rsidRPr="005E38EE" w:rsidRDefault="005E38EE" w:rsidP="005E38EE">
            <w:pPr>
              <w:rPr>
                <w:rFonts w:ascii="Times New Roman" w:eastAsia="Times New Roman" w:hAnsi="Times New Roman" w:cs="Times New Roman"/>
                <w:sz w:val="20"/>
                <w:szCs w:val="20"/>
                <w:lang w:eastAsia="en-GB"/>
              </w:rPr>
            </w:pPr>
          </w:p>
        </w:tc>
      </w:tr>
      <w:tr w:rsidR="005E38EE" w:rsidRPr="005E38EE" w14:paraId="20811330" w14:textId="77777777" w:rsidTr="00AE28A8">
        <w:trPr>
          <w:trHeight w:val="574"/>
        </w:trPr>
        <w:tc>
          <w:tcPr>
            <w:tcW w:w="59" w:type="pct"/>
            <w:shd w:val="clear" w:color="auto" w:fill="auto"/>
            <w:noWrap/>
            <w:vAlign w:val="bottom"/>
            <w:hideMark/>
          </w:tcPr>
          <w:p w14:paraId="37B2A3F3"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w:t>
            </w:r>
          </w:p>
        </w:tc>
        <w:tc>
          <w:tcPr>
            <w:tcW w:w="653" w:type="pct"/>
            <w:shd w:val="clear" w:color="auto" w:fill="auto"/>
            <w:vAlign w:val="center"/>
            <w:hideMark/>
          </w:tcPr>
          <w:p w14:paraId="5B487B1D" w14:textId="77777777" w:rsidR="005E38EE" w:rsidRPr="005E38EE" w:rsidRDefault="005E38EE" w:rsidP="005E38EE">
            <w:pPr>
              <w:rPr>
                <w:rFonts w:ascii="Calibri" w:eastAsia="Times New Roman" w:hAnsi="Calibri" w:cs="Calibri"/>
                <w:lang w:eastAsia="en-GB"/>
              </w:rPr>
            </w:pPr>
            <w:r w:rsidRPr="005E38EE">
              <w:rPr>
                <w:rFonts w:ascii="Calibri" w:eastAsia="Times New Roman" w:hAnsi="Calibri" w:cs="Calibri"/>
                <w:lang w:eastAsia="en-GB"/>
              </w:rPr>
              <w:t>On/In Land</w:t>
            </w:r>
          </w:p>
        </w:tc>
        <w:tc>
          <w:tcPr>
            <w:tcW w:w="4239" w:type="pct"/>
            <w:shd w:val="clear" w:color="auto" w:fill="auto"/>
            <w:vAlign w:val="center"/>
            <w:hideMark/>
          </w:tcPr>
          <w:p w14:paraId="06A7FF93" w14:textId="77777777" w:rsidR="005E38EE" w:rsidRPr="005E38EE" w:rsidRDefault="005E38EE" w:rsidP="005E38EE">
            <w:pPr>
              <w:rPr>
                <w:rFonts w:ascii="Calibri" w:eastAsia="Times New Roman" w:hAnsi="Calibri" w:cs="Calibri"/>
                <w:lang w:eastAsia="en-GB"/>
              </w:rPr>
            </w:pPr>
            <w:r w:rsidRPr="005E38EE">
              <w:rPr>
                <w:rFonts w:ascii="Calibri" w:eastAsia="Times New Roman" w:hAnsi="Calibri" w:cs="Calibri"/>
                <w:lang w:eastAsia="en-GB"/>
              </w:rPr>
              <w:t xml:space="preserve">This category relates to permitted facilities where waste is recovered to land. This can either be depositing waste in a lagoon or utilising waste as part of a deposit for recovery scheme. </w:t>
            </w:r>
          </w:p>
        </w:tc>
        <w:tc>
          <w:tcPr>
            <w:tcW w:w="49" w:type="pct"/>
            <w:vAlign w:val="center"/>
            <w:hideMark/>
          </w:tcPr>
          <w:p w14:paraId="76045D6D" w14:textId="77777777" w:rsidR="005E38EE" w:rsidRPr="005E38EE" w:rsidRDefault="005E38EE" w:rsidP="005E38EE">
            <w:pPr>
              <w:rPr>
                <w:rFonts w:ascii="Times New Roman" w:eastAsia="Times New Roman" w:hAnsi="Times New Roman" w:cs="Times New Roman"/>
                <w:sz w:val="20"/>
                <w:szCs w:val="20"/>
                <w:lang w:eastAsia="en-GB"/>
              </w:rPr>
            </w:pPr>
          </w:p>
        </w:tc>
      </w:tr>
      <w:tr w:rsidR="005E38EE" w:rsidRPr="005E38EE" w14:paraId="6DEF824A" w14:textId="77777777" w:rsidTr="00AE28A8">
        <w:trPr>
          <w:trHeight w:val="574"/>
        </w:trPr>
        <w:tc>
          <w:tcPr>
            <w:tcW w:w="59" w:type="pct"/>
            <w:shd w:val="clear" w:color="auto" w:fill="auto"/>
            <w:noWrap/>
            <w:vAlign w:val="bottom"/>
            <w:hideMark/>
          </w:tcPr>
          <w:p w14:paraId="12C9E431"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w:t>
            </w:r>
          </w:p>
        </w:tc>
        <w:tc>
          <w:tcPr>
            <w:tcW w:w="653" w:type="pct"/>
            <w:shd w:val="clear" w:color="auto" w:fill="auto"/>
            <w:vAlign w:val="center"/>
            <w:hideMark/>
          </w:tcPr>
          <w:p w14:paraId="6643F7C7" w14:textId="77777777" w:rsidR="005E38EE" w:rsidRPr="005E38EE" w:rsidRDefault="005E38EE" w:rsidP="005E38EE">
            <w:pPr>
              <w:rPr>
                <w:rFonts w:ascii="Calibri" w:eastAsia="Times New Roman" w:hAnsi="Calibri" w:cs="Calibri"/>
                <w:lang w:eastAsia="en-GB"/>
              </w:rPr>
            </w:pPr>
            <w:r w:rsidRPr="005E38EE">
              <w:rPr>
                <w:rFonts w:ascii="Calibri" w:eastAsia="Times New Roman" w:hAnsi="Calibri" w:cs="Calibri"/>
                <w:lang w:eastAsia="en-GB"/>
              </w:rPr>
              <w:t>Use of Waste</w:t>
            </w:r>
          </w:p>
        </w:tc>
        <w:tc>
          <w:tcPr>
            <w:tcW w:w="4239" w:type="pct"/>
            <w:shd w:val="clear" w:color="auto" w:fill="auto"/>
            <w:vAlign w:val="center"/>
            <w:hideMark/>
          </w:tcPr>
          <w:p w14:paraId="58856E2D" w14:textId="77777777" w:rsidR="005E38EE" w:rsidRPr="005E38EE" w:rsidRDefault="005E38EE" w:rsidP="005E38EE">
            <w:pPr>
              <w:rPr>
                <w:rFonts w:ascii="Calibri" w:eastAsia="Times New Roman" w:hAnsi="Calibri" w:cs="Calibri"/>
                <w:lang w:eastAsia="en-GB"/>
              </w:rPr>
            </w:pPr>
            <w:r w:rsidRPr="005E38EE">
              <w:rPr>
                <w:rFonts w:ascii="Calibri" w:eastAsia="Times New Roman" w:hAnsi="Calibri" w:cs="Calibri"/>
                <w:lang w:eastAsia="en-GB"/>
              </w:rPr>
              <w:t xml:space="preserve">This category relates to waste operations where certain waste types are utilised for purposes such as manufacturing timber, in construction, or for reclamation purposes. </w:t>
            </w:r>
          </w:p>
        </w:tc>
        <w:tc>
          <w:tcPr>
            <w:tcW w:w="49" w:type="pct"/>
            <w:vAlign w:val="center"/>
            <w:hideMark/>
          </w:tcPr>
          <w:p w14:paraId="11E088DF" w14:textId="77777777" w:rsidR="005E38EE" w:rsidRPr="005E38EE" w:rsidRDefault="005E38EE" w:rsidP="005E38EE">
            <w:pPr>
              <w:rPr>
                <w:rFonts w:ascii="Times New Roman" w:eastAsia="Times New Roman" w:hAnsi="Times New Roman" w:cs="Times New Roman"/>
                <w:sz w:val="20"/>
                <w:szCs w:val="20"/>
                <w:lang w:eastAsia="en-GB"/>
              </w:rPr>
            </w:pPr>
          </w:p>
        </w:tc>
      </w:tr>
      <w:tr w:rsidR="005E38EE" w:rsidRPr="005E38EE" w14:paraId="610F405F" w14:textId="77777777" w:rsidTr="00AE28A8">
        <w:trPr>
          <w:trHeight w:val="1039"/>
        </w:trPr>
        <w:tc>
          <w:tcPr>
            <w:tcW w:w="59" w:type="pct"/>
            <w:shd w:val="clear" w:color="auto" w:fill="auto"/>
            <w:noWrap/>
            <w:vAlign w:val="bottom"/>
            <w:hideMark/>
          </w:tcPr>
          <w:p w14:paraId="18664254"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w:t>
            </w:r>
          </w:p>
        </w:tc>
        <w:tc>
          <w:tcPr>
            <w:tcW w:w="653" w:type="pct"/>
            <w:shd w:val="clear" w:color="auto" w:fill="auto"/>
            <w:vAlign w:val="center"/>
            <w:hideMark/>
          </w:tcPr>
          <w:p w14:paraId="260B444B" w14:textId="77777777" w:rsidR="005E38EE" w:rsidRPr="005E38EE" w:rsidRDefault="005E38EE" w:rsidP="005E38EE">
            <w:pPr>
              <w:rPr>
                <w:rFonts w:ascii="Calibri" w:eastAsia="Times New Roman" w:hAnsi="Calibri" w:cs="Calibri"/>
                <w:lang w:eastAsia="en-GB"/>
              </w:rPr>
            </w:pPr>
            <w:r w:rsidRPr="005E38EE">
              <w:rPr>
                <w:rFonts w:ascii="Calibri" w:eastAsia="Times New Roman" w:hAnsi="Calibri" w:cs="Calibri"/>
                <w:lang w:eastAsia="en-GB"/>
              </w:rPr>
              <w:t>Transfer</w:t>
            </w:r>
          </w:p>
        </w:tc>
        <w:tc>
          <w:tcPr>
            <w:tcW w:w="4239" w:type="pct"/>
            <w:shd w:val="clear" w:color="auto" w:fill="auto"/>
            <w:vAlign w:val="center"/>
            <w:hideMark/>
          </w:tcPr>
          <w:p w14:paraId="1947B86E" w14:textId="77777777" w:rsidR="005E38EE" w:rsidRPr="005E38EE" w:rsidRDefault="005E38EE" w:rsidP="005E38EE">
            <w:pPr>
              <w:rPr>
                <w:rFonts w:ascii="Calibri" w:eastAsia="Times New Roman" w:hAnsi="Calibri" w:cs="Calibri"/>
                <w:lang w:eastAsia="en-GB"/>
              </w:rPr>
            </w:pPr>
            <w:r w:rsidRPr="005E38EE">
              <w:rPr>
                <w:rFonts w:ascii="Calibri" w:eastAsia="Times New Roman" w:hAnsi="Calibri" w:cs="Calibri"/>
                <w:lang w:eastAsia="en-GB"/>
              </w:rPr>
              <w:t xml:space="preserve">This category relates to permitted sites which receive waste and transfer it on to another facility. It will often include other waste management activities not viewed as treatment i.e. storage, bulking of waste, compaction, manual sorting or separation of waste and repackaging. This category covers a broad variety of waste types and operations such as household/commercial/industrial waste, asbestos, clinical waste, hazardous and non-hazardous wastes. </w:t>
            </w:r>
          </w:p>
        </w:tc>
        <w:tc>
          <w:tcPr>
            <w:tcW w:w="49" w:type="pct"/>
            <w:vAlign w:val="center"/>
            <w:hideMark/>
          </w:tcPr>
          <w:p w14:paraId="6F7B1CDD" w14:textId="77777777" w:rsidR="005E38EE" w:rsidRPr="005E38EE" w:rsidRDefault="005E38EE" w:rsidP="005E38EE">
            <w:pPr>
              <w:rPr>
                <w:rFonts w:ascii="Times New Roman" w:eastAsia="Times New Roman" w:hAnsi="Times New Roman" w:cs="Times New Roman"/>
                <w:sz w:val="20"/>
                <w:szCs w:val="20"/>
                <w:lang w:eastAsia="en-GB"/>
              </w:rPr>
            </w:pPr>
          </w:p>
        </w:tc>
      </w:tr>
      <w:tr w:rsidR="005E38EE" w:rsidRPr="005E38EE" w14:paraId="23406E5C" w14:textId="77777777" w:rsidTr="00AE28A8">
        <w:trPr>
          <w:trHeight w:val="840"/>
        </w:trPr>
        <w:tc>
          <w:tcPr>
            <w:tcW w:w="59" w:type="pct"/>
            <w:shd w:val="clear" w:color="auto" w:fill="auto"/>
            <w:noWrap/>
            <w:vAlign w:val="bottom"/>
            <w:hideMark/>
          </w:tcPr>
          <w:p w14:paraId="2125608B"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w:t>
            </w:r>
          </w:p>
        </w:tc>
        <w:tc>
          <w:tcPr>
            <w:tcW w:w="653" w:type="pct"/>
            <w:shd w:val="clear" w:color="auto" w:fill="auto"/>
            <w:vAlign w:val="center"/>
            <w:hideMark/>
          </w:tcPr>
          <w:p w14:paraId="31F57AC8" w14:textId="77777777" w:rsidR="005E38EE" w:rsidRPr="005E38EE" w:rsidRDefault="005E38EE" w:rsidP="005E38EE">
            <w:pPr>
              <w:rPr>
                <w:rFonts w:ascii="Calibri" w:eastAsia="Times New Roman" w:hAnsi="Calibri" w:cs="Calibri"/>
                <w:lang w:eastAsia="en-GB"/>
              </w:rPr>
            </w:pPr>
            <w:r w:rsidRPr="005E38EE">
              <w:rPr>
                <w:rFonts w:ascii="Calibri" w:eastAsia="Times New Roman" w:hAnsi="Calibri" w:cs="Calibri"/>
                <w:lang w:eastAsia="en-GB"/>
              </w:rPr>
              <w:t>Treatment</w:t>
            </w:r>
          </w:p>
        </w:tc>
        <w:tc>
          <w:tcPr>
            <w:tcW w:w="4239" w:type="pct"/>
            <w:shd w:val="clear" w:color="auto" w:fill="auto"/>
            <w:vAlign w:val="center"/>
            <w:hideMark/>
          </w:tcPr>
          <w:p w14:paraId="31740CAB" w14:textId="77777777" w:rsidR="005E38EE" w:rsidRPr="005E38EE" w:rsidRDefault="005E38EE" w:rsidP="005E38EE">
            <w:pPr>
              <w:rPr>
                <w:rFonts w:ascii="Calibri" w:eastAsia="Times New Roman" w:hAnsi="Calibri" w:cs="Calibri"/>
                <w:lang w:eastAsia="en-GB"/>
              </w:rPr>
            </w:pPr>
            <w:r w:rsidRPr="005E38EE">
              <w:rPr>
                <w:rFonts w:ascii="Calibri" w:eastAsia="Times New Roman" w:hAnsi="Calibri" w:cs="Calibri"/>
                <w:lang w:eastAsia="en-GB"/>
              </w:rPr>
              <w:t xml:space="preserve">This category relates to permitted sites which treat waste for either recovery or disposal. Sites may also treat waste and transfer it to another facility. This category covers a broad variety of waste types and operations such as composting and anaerobic digestion, chemical treatment, material recycling facilities, WEEE treatment. </w:t>
            </w:r>
          </w:p>
        </w:tc>
        <w:tc>
          <w:tcPr>
            <w:tcW w:w="49" w:type="pct"/>
            <w:vAlign w:val="center"/>
            <w:hideMark/>
          </w:tcPr>
          <w:p w14:paraId="4C16D6EF" w14:textId="77777777" w:rsidR="005E38EE" w:rsidRPr="005E38EE" w:rsidRDefault="005E38EE" w:rsidP="005E38EE">
            <w:pPr>
              <w:rPr>
                <w:rFonts w:ascii="Times New Roman" w:eastAsia="Times New Roman" w:hAnsi="Times New Roman" w:cs="Times New Roman"/>
                <w:sz w:val="20"/>
                <w:szCs w:val="20"/>
                <w:lang w:eastAsia="en-GB"/>
              </w:rPr>
            </w:pPr>
          </w:p>
        </w:tc>
      </w:tr>
      <w:tr w:rsidR="005E38EE" w:rsidRPr="005E38EE" w14:paraId="0707F92C" w14:textId="77777777" w:rsidTr="00AE28A8">
        <w:trPr>
          <w:trHeight w:val="372"/>
        </w:trPr>
        <w:tc>
          <w:tcPr>
            <w:tcW w:w="59" w:type="pct"/>
            <w:shd w:val="clear" w:color="auto" w:fill="auto"/>
            <w:noWrap/>
            <w:vAlign w:val="bottom"/>
            <w:hideMark/>
          </w:tcPr>
          <w:p w14:paraId="79D68999"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w:t>
            </w:r>
          </w:p>
        </w:tc>
        <w:tc>
          <w:tcPr>
            <w:tcW w:w="653" w:type="pct"/>
            <w:shd w:val="clear" w:color="auto" w:fill="auto"/>
            <w:vAlign w:val="center"/>
            <w:hideMark/>
          </w:tcPr>
          <w:p w14:paraId="3669AC0B"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Combustion</w:t>
            </w:r>
          </w:p>
        </w:tc>
        <w:tc>
          <w:tcPr>
            <w:tcW w:w="4239" w:type="pct"/>
            <w:shd w:val="clear" w:color="auto" w:fill="auto"/>
            <w:vAlign w:val="center"/>
            <w:hideMark/>
          </w:tcPr>
          <w:p w14:paraId="0EF9E669"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This category relates to permitted activities that combust gas produced by the treatment or decomposition of waste</w:t>
            </w:r>
          </w:p>
        </w:tc>
        <w:tc>
          <w:tcPr>
            <w:tcW w:w="49" w:type="pct"/>
            <w:vAlign w:val="center"/>
            <w:hideMark/>
          </w:tcPr>
          <w:p w14:paraId="2408F767" w14:textId="77777777" w:rsidR="005E38EE" w:rsidRPr="005E38EE" w:rsidRDefault="005E38EE" w:rsidP="005E38EE">
            <w:pPr>
              <w:rPr>
                <w:rFonts w:ascii="Times New Roman" w:eastAsia="Times New Roman" w:hAnsi="Times New Roman" w:cs="Times New Roman"/>
                <w:sz w:val="20"/>
                <w:szCs w:val="20"/>
                <w:lang w:eastAsia="en-GB"/>
              </w:rPr>
            </w:pPr>
          </w:p>
        </w:tc>
      </w:tr>
      <w:tr w:rsidR="005E38EE" w:rsidRPr="005E38EE" w14:paraId="0EA5B008" w14:textId="77777777" w:rsidTr="00AE28A8">
        <w:trPr>
          <w:trHeight w:val="372"/>
        </w:trPr>
        <w:tc>
          <w:tcPr>
            <w:tcW w:w="59" w:type="pct"/>
            <w:shd w:val="clear" w:color="auto" w:fill="auto"/>
            <w:noWrap/>
            <w:vAlign w:val="bottom"/>
            <w:hideMark/>
          </w:tcPr>
          <w:p w14:paraId="57EEBCCA"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w:t>
            </w:r>
          </w:p>
        </w:tc>
        <w:tc>
          <w:tcPr>
            <w:tcW w:w="653" w:type="pct"/>
            <w:shd w:val="clear" w:color="auto" w:fill="auto"/>
            <w:vAlign w:val="center"/>
            <w:hideMark/>
          </w:tcPr>
          <w:p w14:paraId="7CCD66DF"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Mining Waste</w:t>
            </w:r>
          </w:p>
        </w:tc>
        <w:tc>
          <w:tcPr>
            <w:tcW w:w="4239" w:type="pct"/>
            <w:shd w:val="clear" w:color="auto" w:fill="auto"/>
            <w:vAlign w:val="center"/>
            <w:hideMark/>
          </w:tcPr>
          <w:p w14:paraId="6EF082E1"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This category relates to mining waste operations in respect of inert extractive waste and unpolluted soil on the site of a mine or quarry</w:t>
            </w:r>
          </w:p>
        </w:tc>
        <w:tc>
          <w:tcPr>
            <w:tcW w:w="49" w:type="pct"/>
            <w:vAlign w:val="center"/>
            <w:hideMark/>
          </w:tcPr>
          <w:p w14:paraId="1BD9D3F9" w14:textId="77777777" w:rsidR="005E38EE" w:rsidRPr="005E38EE" w:rsidRDefault="005E38EE" w:rsidP="005E38EE">
            <w:pPr>
              <w:rPr>
                <w:rFonts w:ascii="Times New Roman" w:eastAsia="Times New Roman" w:hAnsi="Times New Roman" w:cs="Times New Roman"/>
                <w:sz w:val="20"/>
                <w:szCs w:val="20"/>
                <w:lang w:eastAsia="en-GB"/>
              </w:rPr>
            </w:pPr>
          </w:p>
        </w:tc>
      </w:tr>
      <w:tr w:rsidR="005E38EE" w:rsidRPr="005E38EE" w14:paraId="2EDE7DE8" w14:textId="77777777" w:rsidTr="00AE28A8">
        <w:trPr>
          <w:trHeight w:val="814"/>
        </w:trPr>
        <w:tc>
          <w:tcPr>
            <w:tcW w:w="59" w:type="pct"/>
            <w:shd w:val="clear" w:color="auto" w:fill="auto"/>
            <w:noWrap/>
            <w:vAlign w:val="bottom"/>
            <w:hideMark/>
          </w:tcPr>
          <w:p w14:paraId="055EDBB5"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lastRenderedPageBreak/>
              <w:t> </w:t>
            </w:r>
          </w:p>
        </w:tc>
        <w:tc>
          <w:tcPr>
            <w:tcW w:w="653" w:type="pct"/>
            <w:shd w:val="clear" w:color="auto" w:fill="auto"/>
            <w:vAlign w:val="center"/>
            <w:hideMark/>
          </w:tcPr>
          <w:p w14:paraId="231F5618"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Mobile Plant</w:t>
            </w:r>
          </w:p>
        </w:tc>
        <w:tc>
          <w:tcPr>
            <w:tcW w:w="4239" w:type="pct"/>
            <w:shd w:val="clear" w:color="auto" w:fill="auto"/>
            <w:vAlign w:val="center"/>
            <w:hideMark/>
          </w:tcPr>
          <w:p w14:paraId="0436980F"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xml:space="preserve">This category relates to the use of mobile plant to treat </w:t>
            </w:r>
            <w:proofErr w:type="gramStart"/>
            <w:r w:rsidRPr="005E38EE">
              <w:rPr>
                <w:rFonts w:ascii="Calibri" w:eastAsia="Times New Roman" w:hAnsi="Calibri" w:cs="Calibri"/>
                <w:color w:val="000000"/>
                <w:lang w:eastAsia="en-GB"/>
              </w:rPr>
              <w:t>waste ,</w:t>
            </w:r>
            <w:proofErr w:type="gramEnd"/>
            <w:r w:rsidRPr="005E38EE">
              <w:rPr>
                <w:rFonts w:ascii="Calibri" w:eastAsia="Times New Roman" w:hAnsi="Calibri" w:cs="Calibri"/>
                <w:color w:val="000000"/>
                <w:lang w:eastAsia="en-GB"/>
              </w:rPr>
              <w:t xml:space="preserve"> restore or spread waste on land.  Operators are required to notify us about individual </w:t>
            </w:r>
            <w:proofErr w:type="gramStart"/>
            <w:r w:rsidRPr="005E38EE">
              <w:rPr>
                <w:rFonts w:ascii="Calibri" w:eastAsia="Times New Roman" w:hAnsi="Calibri" w:cs="Calibri"/>
                <w:color w:val="000000"/>
                <w:lang w:eastAsia="en-GB"/>
              </w:rPr>
              <w:t>deployments</w:t>
            </w:r>
            <w:proofErr w:type="gramEnd"/>
            <w:r w:rsidRPr="005E38EE">
              <w:rPr>
                <w:rFonts w:ascii="Calibri" w:eastAsia="Times New Roman" w:hAnsi="Calibri" w:cs="Calibri"/>
                <w:color w:val="000000"/>
                <w:lang w:eastAsia="en-GB"/>
              </w:rPr>
              <w:t xml:space="preserve"> but this information is not held in waste returns. You can request this data separately.</w:t>
            </w:r>
          </w:p>
        </w:tc>
        <w:tc>
          <w:tcPr>
            <w:tcW w:w="49" w:type="pct"/>
            <w:vAlign w:val="center"/>
            <w:hideMark/>
          </w:tcPr>
          <w:p w14:paraId="3D7439E9" w14:textId="77777777" w:rsidR="005E38EE" w:rsidRPr="005E38EE" w:rsidRDefault="005E38EE" w:rsidP="005E38EE">
            <w:pPr>
              <w:rPr>
                <w:rFonts w:ascii="Times New Roman" w:eastAsia="Times New Roman" w:hAnsi="Times New Roman" w:cs="Times New Roman"/>
                <w:sz w:val="20"/>
                <w:szCs w:val="20"/>
                <w:lang w:eastAsia="en-GB"/>
              </w:rPr>
            </w:pPr>
          </w:p>
        </w:tc>
      </w:tr>
      <w:tr w:rsidR="005E38EE" w:rsidRPr="005E38EE" w14:paraId="6062E848" w14:textId="77777777" w:rsidTr="00AE28A8">
        <w:trPr>
          <w:trHeight w:val="372"/>
        </w:trPr>
        <w:tc>
          <w:tcPr>
            <w:tcW w:w="59" w:type="pct"/>
            <w:shd w:val="clear" w:color="auto" w:fill="auto"/>
            <w:noWrap/>
            <w:vAlign w:val="bottom"/>
            <w:hideMark/>
          </w:tcPr>
          <w:p w14:paraId="2890F417"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w:t>
            </w:r>
          </w:p>
        </w:tc>
        <w:tc>
          <w:tcPr>
            <w:tcW w:w="653" w:type="pct"/>
            <w:shd w:val="clear" w:color="auto" w:fill="auto"/>
            <w:vAlign w:val="center"/>
            <w:hideMark/>
          </w:tcPr>
          <w:p w14:paraId="5BF0E2C8"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xml:space="preserve">Incineration </w:t>
            </w:r>
          </w:p>
        </w:tc>
        <w:tc>
          <w:tcPr>
            <w:tcW w:w="4239" w:type="pct"/>
            <w:shd w:val="clear" w:color="auto" w:fill="auto"/>
            <w:vAlign w:val="center"/>
            <w:hideMark/>
          </w:tcPr>
          <w:p w14:paraId="4338F6FC"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This category relates to the incineration or co-incineration of waste.</w:t>
            </w:r>
          </w:p>
        </w:tc>
        <w:tc>
          <w:tcPr>
            <w:tcW w:w="49" w:type="pct"/>
            <w:vAlign w:val="center"/>
            <w:hideMark/>
          </w:tcPr>
          <w:p w14:paraId="7B6803B3" w14:textId="77777777" w:rsidR="005E38EE" w:rsidRPr="005E38EE" w:rsidRDefault="005E38EE" w:rsidP="005E38EE">
            <w:pPr>
              <w:rPr>
                <w:rFonts w:ascii="Times New Roman" w:eastAsia="Times New Roman" w:hAnsi="Times New Roman" w:cs="Times New Roman"/>
                <w:sz w:val="20"/>
                <w:szCs w:val="20"/>
                <w:lang w:eastAsia="en-GB"/>
              </w:rPr>
            </w:pPr>
          </w:p>
        </w:tc>
      </w:tr>
      <w:tr w:rsidR="005E38EE" w:rsidRPr="005E38EE" w14:paraId="184A2D6E" w14:textId="77777777" w:rsidTr="00AE28A8">
        <w:trPr>
          <w:trHeight w:val="814"/>
        </w:trPr>
        <w:tc>
          <w:tcPr>
            <w:tcW w:w="59" w:type="pct"/>
            <w:shd w:val="clear" w:color="auto" w:fill="auto"/>
            <w:noWrap/>
            <w:vAlign w:val="bottom"/>
            <w:hideMark/>
          </w:tcPr>
          <w:p w14:paraId="4D75EE8B"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w:t>
            </w:r>
          </w:p>
        </w:tc>
        <w:tc>
          <w:tcPr>
            <w:tcW w:w="653" w:type="pct"/>
            <w:shd w:val="clear" w:color="auto" w:fill="auto"/>
            <w:vAlign w:val="center"/>
            <w:hideMark/>
          </w:tcPr>
          <w:p w14:paraId="404D22E9"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Processing</w:t>
            </w:r>
          </w:p>
        </w:tc>
        <w:tc>
          <w:tcPr>
            <w:tcW w:w="4239" w:type="pct"/>
            <w:shd w:val="clear" w:color="auto" w:fill="auto"/>
            <w:vAlign w:val="center"/>
            <w:hideMark/>
          </w:tcPr>
          <w:p w14:paraId="6A412B5E"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xml:space="preserve">This category relates to permitted installations where the treatment of waste is not the primary activity, but where waste is used as a product in their process.   These permits usually don’t have a permit condition to provide a waste </w:t>
            </w:r>
            <w:proofErr w:type="gramStart"/>
            <w:r w:rsidRPr="005E38EE">
              <w:rPr>
                <w:rFonts w:ascii="Calibri" w:eastAsia="Times New Roman" w:hAnsi="Calibri" w:cs="Calibri"/>
                <w:color w:val="000000"/>
                <w:lang w:eastAsia="en-GB"/>
              </w:rPr>
              <w:t>return</w:t>
            </w:r>
            <w:proofErr w:type="gramEnd"/>
            <w:r w:rsidRPr="005E38EE">
              <w:rPr>
                <w:rFonts w:ascii="Calibri" w:eastAsia="Times New Roman" w:hAnsi="Calibri" w:cs="Calibri"/>
                <w:color w:val="000000"/>
                <w:lang w:eastAsia="en-GB"/>
              </w:rPr>
              <w:t xml:space="preserve"> but the operator has agreed to supply the data voluntarily.  As such this is a limited number of sites.</w:t>
            </w:r>
          </w:p>
        </w:tc>
        <w:tc>
          <w:tcPr>
            <w:tcW w:w="49" w:type="pct"/>
            <w:vAlign w:val="center"/>
            <w:hideMark/>
          </w:tcPr>
          <w:p w14:paraId="6129B679" w14:textId="77777777" w:rsidR="005E38EE" w:rsidRPr="005E38EE" w:rsidRDefault="005E38EE" w:rsidP="005E38EE">
            <w:pPr>
              <w:rPr>
                <w:rFonts w:ascii="Times New Roman" w:eastAsia="Times New Roman" w:hAnsi="Times New Roman" w:cs="Times New Roman"/>
                <w:sz w:val="20"/>
                <w:szCs w:val="20"/>
                <w:lang w:eastAsia="en-GB"/>
              </w:rPr>
            </w:pPr>
          </w:p>
        </w:tc>
      </w:tr>
      <w:tr w:rsidR="005E38EE" w:rsidRPr="005E38EE" w14:paraId="207E8A3F" w14:textId="77777777" w:rsidTr="00AE28A8">
        <w:trPr>
          <w:trHeight w:val="372"/>
        </w:trPr>
        <w:tc>
          <w:tcPr>
            <w:tcW w:w="59" w:type="pct"/>
            <w:shd w:val="clear" w:color="auto" w:fill="auto"/>
            <w:noWrap/>
            <w:vAlign w:val="bottom"/>
            <w:hideMark/>
          </w:tcPr>
          <w:p w14:paraId="70BD96E5"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 </w:t>
            </w:r>
          </w:p>
        </w:tc>
        <w:tc>
          <w:tcPr>
            <w:tcW w:w="653" w:type="pct"/>
            <w:shd w:val="clear" w:color="auto" w:fill="auto"/>
            <w:vAlign w:val="center"/>
            <w:hideMark/>
          </w:tcPr>
          <w:p w14:paraId="3452C967"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Storage</w:t>
            </w:r>
          </w:p>
        </w:tc>
        <w:tc>
          <w:tcPr>
            <w:tcW w:w="4239" w:type="pct"/>
            <w:shd w:val="clear" w:color="auto" w:fill="auto"/>
            <w:vAlign w:val="center"/>
            <w:hideMark/>
          </w:tcPr>
          <w:p w14:paraId="670531C8" w14:textId="77777777" w:rsidR="005E38EE" w:rsidRPr="005E38EE" w:rsidRDefault="005E38EE" w:rsidP="005E38EE">
            <w:pPr>
              <w:rPr>
                <w:rFonts w:ascii="Calibri" w:eastAsia="Times New Roman" w:hAnsi="Calibri" w:cs="Calibri"/>
                <w:color w:val="000000"/>
                <w:lang w:eastAsia="en-GB"/>
              </w:rPr>
            </w:pPr>
            <w:r w:rsidRPr="005E38EE">
              <w:rPr>
                <w:rFonts w:ascii="Calibri" w:eastAsia="Times New Roman" w:hAnsi="Calibri" w:cs="Calibri"/>
                <w:color w:val="000000"/>
                <w:lang w:eastAsia="en-GB"/>
              </w:rPr>
              <w:t>This category relates to permitted activities where waste may be bulked up and stored temporarily.</w:t>
            </w:r>
          </w:p>
        </w:tc>
        <w:tc>
          <w:tcPr>
            <w:tcW w:w="49" w:type="pct"/>
            <w:vAlign w:val="center"/>
            <w:hideMark/>
          </w:tcPr>
          <w:p w14:paraId="4D53BCCB" w14:textId="77777777" w:rsidR="005E38EE" w:rsidRPr="005E38EE" w:rsidRDefault="005E38EE" w:rsidP="005E38EE">
            <w:pPr>
              <w:rPr>
                <w:rFonts w:ascii="Times New Roman" w:eastAsia="Times New Roman" w:hAnsi="Times New Roman" w:cs="Times New Roman"/>
                <w:sz w:val="20"/>
                <w:szCs w:val="20"/>
                <w:lang w:eastAsia="en-GB"/>
              </w:rPr>
            </w:pPr>
          </w:p>
        </w:tc>
      </w:tr>
    </w:tbl>
    <w:p w14:paraId="09438D07" w14:textId="77777777" w:rsidR="005E38EE" w:rsidRDefault="005E38EE" w:rsidP="00D73374">
      <w:pPr>
        <w:spacing w:line="276" w:lineRule="auto"/>
        <w:rPr>
          <w:rFonts w:ascii="Calibri" w:eastAsia="Calibri" w:hAnsi="Calibri" w:cs="Times New Roman"/>
          <w:u w:val="single"/>
        </w:rPr>
      </w:pPr>
    </w:p>
    <w:p w14:paraId="05767391" w14:textId="52273D28" w:rsidR="00D96D2D" w:rsidRDefault="00D96D2D" w:rsidP="00D73374">
      <w:pPr>
        <w:spacing w:line="276" w:lineRule="auto"/>
        <w:rPr>
          <w:rFonts w:ascii="Calibri" w:eastAsia="Calibri" w:hAnsi="Calibri" w:cs="Times New Roman"/>
          <w:u w:val="single"/>
        </w:rPr>
      </w:pPr>
      <w:r>
        <w:rPr>
          <w:rFonts w:ascii="Calibri" w:eastAsia="Calibri" w:hAnsi="Calibri" w:cs="Times New Roman"/>
          <w:u w:val="single"/>
        </w:rPr>
        <w:t>EA Waste Categories Construction and Demolition Waste</w:t>
      </w:r>
      <w:r w:rsidR="00297EB0">
        <w:rPr>
          <w:rFonts w:ascii="Calibri" w:eastAsia="Calibri" w:hAnsi="Calibri" w:cs="Times New Roman"/>
          <w:u w:val="single"/>
        </w:rPr>
        <w:t xml:space="preserve"> codes</w:t>
      </w:r>
      <w:r w:rsidR="00DB0D15">
        <w:rPr>
          <w:rFonts w:ascii="Calibri" w:eastAsia="Calibri" w:hAnsi="Calibri" w:cs="Times New Roman"/>
          <w:u w:val="single"/>
        </w:rPr>
        <w:t xml:space="preserve"> included in </w:t>
      </w:r>
      <w:r w:rsidR="00297EB0">
        <w:rPr>
          <w:rFonts w:ascii="Calibri" w:eastAsia="Calibri" w:hAnsi="Calibri" w:cs="Times New Roman"/>
          <w:u w:val="single"/>
        </w:rPr>
        <w:t>Table 11</w:t>
      </w:r>
      <w:r w:rsidR="006E6E31">
        <w:rPr>
          <w:rFonts w:ascii="Calibri" w:eastAsia="Calibri" w:hAnsi="Calibri" w:cs="Times New Roman"/>
          <w:u w:val="single"/>
        </w:rPr>
        <w:t xml:space="preserve"> Doncaster and Rotherham CDE/ Mineral Waste Fate 2023</w:t>
      </w:r>
      <w:r w:rsidR="00297EB0">
        <w:rPr>
          <w:rFonts w:ascii="Calibri" w:eastAsia="Calibri" w:hAnsi="Calibri" w:cs="Times New Roman"/>
          <w:u w:val="single"/>
        </w:rPr>
        <w:t>.</w:t>
      </w:r>
    </w:p>
    <w:p w14:paraId="3E9938C6" w14:textId="77925D42" w:rsidR="00D96D2D" w:rsidRDefault="00D96D2D" w:rsidP="00D73374">
      <w:pPr>
        <w:spacing w:line="276" w:lineRule="auto"/>
        <w:rPr>
          <w:rFonts w:ascii="Calibri" w:eastAsia="Calibri" w:hAnsi="Calibri" w:cs="Times New Roman"/>
        </w:rPr>
      </w:pPr>
    </w:p>
    <w:tbl>
      <w:tblPr>
        <w:tblStyle w:val="TableGrid"/>
        <w:tblW w:w="0" w:type="auto"/>
        <w:tblLook w:val="04A0" w:firstRow="1" w:lastRow="0" w:firstColumn="1" w:lastColumn="0" w:noHBand="0" w:noVBand="1"/>
      </w:tblPr>
      <w:tblGrid>
        <w:gridCol w:w="2972"/>
        <w:gridCol w:w="6640"/>
        <w:gridCol w:w="4806"/>
      </w:tblGrid>
      <w:tr w:rsidR="00A77FB4" w14:paraId="0D3EB96B" w14:textId="77777777" w:rsidTr="00E86E2D">
        <w:tc>
          <w:tcPr>
            <w:tcW w:w="2972" w:type="dxa"/>
            <w:vAlign w:val="center"/>
          </w:tcPr>
          <w:p w14:paraId="30FC7D9D" w14:textId="6252E845" w:rsidR="00A77FB4" w:rsidRDefault="008A585A" w:rsidP="00A77FB4">
            <w:pPr>
              <w:spacing w:line="276" w:lineRule="auto"/>
              <w:rPr>
                <w:rFonts w:ascii="Calibri" w:eastAsia="Calibri" w:hAnsi="Calibri" w:cs="Times New Roman"/>
              </w:rPr>
            </w:pPr>
            <w:r>
              <w:rPr>
                <w:rFonts w:ascii="Calibri" w:hAnsi="Calibri" w:cs="Calibri"/>
                <w:b/>
                <w:bCs/>
              </w:rPr>
              <w:t xml:space="preserve">Basic Waste Category </w:t>
            </w:r>
          </w:p>
        </w:tc>
        <w:tc>
          <w:tcPr>
            <w:tcW w:w="6640" w:type="dxa"/>
            <w:vAlign w:val="center"/>
          </w:tcPr>
          <w:p w14:paraId="616BC082" w14:textId="27D1372B" w:rsidR="00A77FB4" w:rsidRDefault="00A77FB4" w:rsidP="00A77FB4">
            <w:pPr>
              <w:spacing w:line="276" w:lineRule="auto"/>
              <w:rPr>
                <w:rFonts w:ascii="Calibri" w:eastAsia="Calibri" w:hAnsi="Calibri" w:cs="Times New Roman"/>
              </w:rPr>
            </w:pPr>
            <w:r>
              <w:rPr>
                <w:rFonts w:ascii="Calibri" w:hAnsi="Calibri" w:cs="Calibri"/>
                <w:b/>
                <w:bCs/>
              </w:rPr>
              <w:t>EWC Waste Desc</w:t>
            </w:r>
            <w:r w:rsidR="006B5155">
              <w:rPr>
                <w:rFonts w:ascii="Calibri" w:hAnsi="Calibri" w:cs="Calibri"/>
                <w:b/>
                <w:bCs/>
              </w:rPr>
              <w:t xml:space="preserve">ription </w:t>
            </w:r>
          </w:p>
        </w:tc>
        <w:tc>
          <w:tcPr>
            <w:tcW w:w="4806" w:type="dxa"/>
            <w:vAlign w:val="center"/>
          </w:tcPr>
          <w:p w14:paraId="7DC51836" w14:textId="349B1598" w:rsidR="00A77FB4" w:rsidRDefault="00A77FB4" w:rsidP="00A77FB4">
            <w:pPr>
              <w:spacing w:line="276" w:lineRule="auto"/>
              <w:rPr>
                <w:rFonts w:ascii="Calibri" w:eastAsia="Calibri" w:hAnsi="Calibri" w:cs="Times New Roman"/>
              </w:rPr>
            </w:pPr>
            <w:r>
              <w:rPr>
                <w:rFonts w:ascii="Calibri" w:hAnsi="Calibri" w:cs="Calibri"/>
                <w:b/>
                <w:bCs/>
              </w:rPr>
              <w:t>Waste Code</w:t>
            </w:r>
          </w:p>
        </w:tc>
      </w:tr>
      <w:tr w:rsidR="00A47D0A" w14:paraId="0B9DEBE4" w14:textId="77777777" w:rsidTr="00E86E2D">
        <w:tc>
          <w:tcPr>
            <w:tcW w:w="2972" w:type="dxa"/>
          </w:tcPr>
          <w:p w14:paraId="3A5C03A1" w14:textId="7A6A75C7" w:rsidR="00A47D0A" w:rsidRDefault="008A585A" w:rsidP="00A47D0A">
            <w:pPr>
              <w:spacing w:line="276" w:lineRule="auto"/>
              <w:rPr>
                <w:rFonts w:ascii="Calibri" w:eastAsia="Calibri" w:hAnsi="Calibri" w:cs="Times New Roman"/>
              </w:rPr>
            </w:pPr>
            <w:r>
              <w:rPr>
                <w:rFonts w:ascii="Calibri" w:eastAsia="Calibri" w:hAnsi="Calibri" w:cs="Times New Roman"/>
              </w:rPr>
              <w:t>Inert</w:t>
            </w:r>
            <w:r w:rsidR="00737BF2">
              <w:rPr>
                <w:rFonts w:ascii="Calibri" w:eastAsia="Calibri" w:hAnsi="Calibri" w:cs="Times New Roman"/>
              </w:rPr>
              <w:t>/C+D</w:t>
            </w:r>
          </w:p>
        </w:tc>
        <w:tc>
          <w:tcPr>
            <w:tcW w:w="6640" w:type="dxa"/>
            <w:vAlign w:val="center"/>
          </w:tcPr>
          <w:p w14:paraId="77041572" w14:textId="5A7B2FD9" w:rsidR="00A47D0A" w:rsidRDefault="00A47D0A" w:rsidP="00A47D0A">
            <w:pPr>
              <w:spacing w:line="276" w:lineRule="auto"/>
              <w:rPr>
                <w:rFonts w:ascii="Calibri" w:eastAsia="Calibri" w:hAnsi="Calibri" w:cs="Times New Roman"/>
              </w:rPr>
            </w:pPr>
            <w:r>
              <w:rPr>
                <w:rFonts w:ascii="Calibri" w:hAnsi="Calibri" w:cs="Calibri"/>
                <w:color w:val="000000"/>
              </w:rPr>
              <w:t>waste sand and clays</w:t>
            </w:r>
          </w:p>
        </w:tc>
        <w:tc>
          <w:tcPr>
            <w:tcW w:w="4806" w:type="dxa"/>
            <w:vAlign w:val="center"/>
          </w:tcPr>
          <w:p w14:paraId="72B7AE12" w14:textId="42E78DC5" w:rsidR="00A47D0A" w:rsidRDefault="00A47D0A" w:rsidP="00A47D0A">
            <w:pPr>
              <w:spacing w:line="276" w:lineRule="auto"/>
              <w:rPr>
                <w:rFonts w:ascii="Calibri" w:eastAsia="Calibri" w:hAnsi="Calibri" w:cs="Times New Roman"/>
              </w:rPr>
            </w:pPr>
            <w:r>
              <w:rPr>
                <w:rFonts w:ascii="Calibri" w:hAnsi="Calibri" w:cs="Calibri"/>
                <w:color w:val="000000"/>
              </w:rPr>
              <w:t>01 04 09</w:t>
            </w:r>
          </w:p>
        </w:tc>
      </w:tr>
      <w:tr w:rsidR="00737BF2" w14:paraId="05536998" w14:textId="77777777" w:rsidTr="00E86E2D">
        <w:tc>
          <w:tcPr>
            <w:tcW w:w="2972" w:type="dxa"/>
          </w:tcPr>
          <w:p w14:paraId="446F4D57" w14:textId="49500734" w:rsidR="00737BF2" w:rsidRDefault="00737BF2" w:rsidP="00737BF2">
            <w:pPr>
              <w:spacing w:line="276" w:lineRule="auto"/>
              <w:rPr>
                <w:rFonts w:ascii="Calibri" w:eastAsia="Calibri" w:hAnsi="Calibri" w:cs="Times New Roman"/>
              </w:rPr>
            </w:pPr>
            <w:r>
              <w:rPr>
                <w:rFonts w:ascii="Calibri" w:eastAsia="Calibri" w:hAnsi="Calibri" w:cs="Times New Roman"/>
              </w:rPr>
              <w:t>Inert/C+D</w:t>
            </w:r>
          </w:p>
        </w:tc>
        <w:tc>
          <w:tcPr>
            <w:tcW w:w="6640" w:type="dxa"/>
            <w:vAlign w:val="center"/>
          </w:tcPr>
          <w:p w14:paraId="7CF6CF54" w14:textId="22A7AF99" w:rsidR="00737BF2" w:rsidRDefault="00737BF2" w:rsidP="00737BF2">
            <w:pPr>
              <w:spacing w:line="276" w:lineRule="auto"/>
              <w:rPr>
                <w:rFonts w:ascii="Calibri" w:eastAsia="Calibri" w:hAnsi="Calibri" w:cs="Times New Roman"/>
              </w:rPr>
            </w:pPr>
            <w:r>
              <w:rPr>
                <w:rFonts w:ascii="Calibri" w:hAnsi="Calibri" w:cs="Calibri"/>
                <w:color w:val="000000"/>
              </w:rPr>
              <w:t>wastes from stone cutting and sawing other than those mentioned in 01 04 07</w:t>
            </w:r>
          </w:p>
        </w:tc>
        <w:tc>
          <w:tcPr>
            <w:tcW w:w="4806" w:type="dxa"/>
            <w:vAlign w:val="center"/>
          </w:tcPr>
          <w:p w14:paraId="237CC9B8" w14:textId="160853FB" w:rsidR="00737BF2" w:rsidRDefault="00737BF2" w:rsidP="00737BF2">
            <w:pPr>
              <w:spacing w:line="276" w:lineRule="auto"/>
              <w:rPr>
                <w:rFonts w:ascii="Calibri" w:eastAsia="Calibri" w:hAnsi="Calibri" w:cs="Times New Roman"/>
              </w:rPr>
            </w:pPr>
            <w:r>
              <w:rPr>
                <w:rFonts w:ascii="Calibri" w:hAnsi="Calibri" w:cs="Calibri"/>
                <w:color w:val="000000"/>
              </w:rPr>
              <w:t>01 04 13</w:t>
            </w:r>
          </w:p>
        </w:tc>
      </w:tr>
      <w:tr w:rsidR="00737BF2" w14:paraId="35B98B97" w14:textId="77777777" w:rsidTr="00E86E2D">
        <w:tc>
          <w:tcPr>
            <w:tcW w:w="2972" w:type="dxa"/>
          </w:tcPr>
          <w:p w14:paraId="6C06A636" w14:textId="1E314097" w:rsidR="00737BF2" w:rsidRDefault="00737BF2" w:rsidP="00737BF2">
            <w:pPr>
              <w:spacing w:line="276" w:lineRule="auto"/>
              <w:rPr>
                <w:rFonts w:ascii="Calibri" w:eastAsia="Calibri" w:hAnsi="Calibri" w:cs="Times New Roman"/>
              </w:rPr>
            </w:pPr>
            <w:r>
              <w:rPr>
                <w:rFonts w:ascii="Calibri" w:eastAsia="Calibri" w:hAnsi="Calibri" w:cs="Times New Roman"/>
              </w:rPr>
              <w:t>Inert/C+D</w:t>
            </w:r>
          </w:p>
        </w:tc>
        <w:tc>
          <w:tcPr>
            <w:tcW w:w="6640" w:type="dxa"/>
            <w:vAlign w:val="center"/>
          </w:tcPr>
          <w:p w14:paraId="56235615" w14:textId="7CBB60F3" w:rsidR="00737BF2" w:rsidRDefault="00737BF2" w:rsidP="00737BF2">
            <w:pPr>
              <w:spacing w:line="276" w:lineRule="auto"/>
              <w:rPr>
                <w:rFonts w:ascii="Calibri" w:eastAsia="Calibri" w:hAnsi="Calibri" w:cs="Times New Roman"/>
              </w:rPr>
            </w:pPr>
            <w:r>
              <w:rPr>
                <w:rFonts w:ascii="Calibri" w:hAnsi="Calibri" w:cs="Calibri"/>
                <w:color w:val="000000"/>
              </w:rPr>
              <w:t>waste ceramics, bricks, tiles and construction products (after thermal processing)</w:t>
            </w:r>
          </w:p>
        </w:tc>
        <w:tc>
          <w:tcPr>
            <w:tcW w:w="4806" w:type="dxa"/>
            <w:vAlign w:val="center"/>
          </w:tcPr>
          <w:p w14:paraId="24AA5632" w14:textId="3B83404A" w:rsidR="00737BF2" w:rsidRDefault="00737BF2" w:rsidP="00737BF2">
            <w:pPr>
              <w:spacing w:line="276" w:lineRule="auto"/>
              <w:rPr>
                <w:rFonts w:ascii="Calibri" w:eastAsia="Calibri" w:hAnsi="Calibri" w:cs="Times New Roman"/>
              </w:rPr>
            </w:pPr>
            <w:r>
              <w:rPr>
                <w:rFonts w:ascii="Calibri" w:hAnsi="Calibri" w:cs="Calibri"/>
                <w:color w:val="000000"/>
              </w:rPr>
              <w:t>10 12 08</w:t>
            </w:r>
          </w:p>
        </w:tc>
      </w:tr>
      <w:tr w:rsidR="00737BF2" w14:paraId="677D3C39" w14:textId="77777777" w:rsidTr="00E86E2D">
        <w:tc>
          <w:tcPr>
            <w:tcW w:w="2972" w:type="dxa"/>
          </w:tcPr>
          <w:p w14:paraId="2A2CE803" w14:textId="6287AD81" w:rsidR="00737BF2" w:rsidRDefault="00737BF2" w:rsidP="00737BF2">
            <w:pPr>
              <w:spacing w:line="276" w:lineRule="auto"/>
              <w:rPr>
                <w:rFonts w:ascii="Calibri" w:eastAsia="Calibri" w:hAnsi="Calibri" w:cs="Times New Roman"/>
              </w:rPr>
            </w:pPr>
            <w:r>
              <w:rPr>
                <w:rFonts w:ascii="Calibri" w:eastAsia="Calibri" w:hAnsi="Calibri" w:cs="Times New Roman"/>
              </w:rPr>
              <w:t>Inert/C+D</w:t>
            </w:r>
          </w:p>
        </w:tc>
        <w:tc>
          <w:tcPr>
            <w:tcW w:w="6640" w:type="dxa"/>
            <w:vAlign w:val="center"/>
          </w:tcPr>
          <w:p w14:paraId="17CD91DC" w14:textId="58794BDE" w:rsidR="00737BF2" w:rsidRDefault="00737BF2" w:rsidP="00737BF2">
            <w:pPr>
              <w:spacing w:line="276" w:lineRule="auto"/>
              <w:rPr>
                <w:rFonts w:ascii="Calibri" w:eastAsia="Calibri" w:hAnsi="Calibri" w:cs="Times New Roman"/>
              </w:rPr>
            </w:pPr>
            <w:r>
              <w:rPr>
                <w:rFonts w:ascii="Calibri" w:hAnsi="Calibri" w:cs="Calibri"/>
                <w:color w:val="000000"/>
              </w:rPr>
              <w:t>glass</w:t>
            </w:r>
          </w:p>
        </w:tc>
        <w:tc>
          <w:tcPr>
            <w:tcW w:w="4806" w:type="dxa"/>
            <w:vAlign w:val="center"/>
          </w:tcPr>
          <w:p w14:paraId="4461656F" w14:textId="40607072" w:rsidR="00737BF2" w:rsidRDefault="00737BF2" w:rsidP="00737BF2">
            <w:pPr>
              <w:spacing w:line="276" w:lineRule="auto"/>
              <w:rPr>
                <w:rFonts w:ascii="Calibri" w:eastAsia="Calibri" w:hAnsi="Calibri" w:cs="Times New Roman"/>
              </w:rPr>
            </w:pPr>
            <w:r>
              <w:rPr>
                <w:rFonts w:ascii="Calibri" w:hAnsi="Calibri" w:cs="Calibri"/>
                <w:color w:val="000000"/>
              </w:rPr>
              <w:t>16 01 20</w:t>
            </w:r>
          </w:p>
        </w:tc>
      </w:tr>
      <w:tr w:rsidR="00A507DF" w14:paraId="593B2D27" w14:textId="77777777" w:rsidTr="00E86E2D">
        <w:tc>
          <w:tcPr>
            <w:tcW w:w="2972" w:type="dxa"/>
          </w:tcPr>
          <w:p w14:paraId="4A7C3BEF" w14:textId="0A18271A" w:rsidR="00A507DF" w:rsidRDefault="00A507DF" w:rsidP="00A507DF">
            <w:pPr>
              <w:spacing w:line="276" w:lineRule="auto"/>
              <w:rPr>
                <w:rFonts w:ascii="Calibri" w:eastAsia="Calibri" w:hAnsi="Calibri" w:cs="Times New Roman"/>
              </w:rPr>
            </w:pPr>
            <w:r>
              <w:rPr>
                <w:rFonts w:ascii="Calibri" w:eastAsia="Calibri" w:hAnsi="Calibri" w:cs="Times New Roman"/>
              </w:rPr>
              <w:t>Inert/C+D</w:t>
            </w:r>
          </w:p>
        </w:tc>
        <w:tc>
          <w:tcPr>
            <w:tcW w:w="6640" w:type="dxa"/>
            <w:vAlign w:val="center"/>
          </w:tcPr>
          <w:p w14:paraId="1B1428E0" w14:textId="0725CD8B" w:rsidR="00A507DF" w:rsidRDefault="00A507DF" w:rsidP="00A507DF">
            <w:pPr>
              <w:spacing w:line="276" w:lineRule="auto"/>
              <w:rPr>
                <w:rFonts w:ascii="Calibri" w:eastAsia="Calibri" w:hAnsi="Calibri" w:cs="Times New Roman"/>
              </w:rPr>
            </w:pPr>
            <w:r>
              <w:rPr>
                <w:rFonts w:ascii="Calibri" w:hAnsi="Calibri" w:cs="Calibri"/>
                <w:color w:val="000000"/>
              </w:rPr>
              <w:t>concrete</w:t>
            </w:r>
          </w:p>
        </w:tc>
        <w:tc>
          <w:tcPr>
            <w:tcW w:w="4806" w:type="dxa"/>
            <w:vAlign w:val="center"/>
          </w:tcPr>
          <w:p w14:paraId="6F70E62D" w14:textId="504AFE93" w:rsidR="00A507DF" w:rsidRDefault="00A507DF" w:rsidP="00A507DF">
            <w:pPr>
              <w:spacing w:line="276" w:lineRule="auto"/>
              <w:rPr>
                <w:rFonts w:ascii="Calibri" w:eastAsia="Calibri" w:hAnsi="Calibri" w:cs="Times New Roman"/>
              </w:rPr>
            </w:pPr>
            <w:r>
              <w:rPr>
                <w:rFonts w:ascii="Calibri" w:hAnsi="Calibri" w:cs="Calibri"/>
                <w:color w:val="000000"/>
              </w:rPr>
              <w:t>17 01 01</w:t>
            </w:r>
          </w:p>
        </w:tc>
      </w:tr>
      <w:tr w:rsidR="00A507DF" w14:paraId="0C6A0935" w14:textId="77777777" w:rsidTr="00E86E2D">
        <w:tc>
          <w:tcPr>
            <w:tcW w:w="2972" w:type="dxa"/>
          </w:tcPr>
          <w:p w14:paraId="4E402515" w14:textId="5BA0BFE0" w:rsidR="00A507DF" w:rsidRDefault="00A507DF" w:rsidP="00A507DF">
            <w:pPr>
              <w:spacing w:line="276" w:lineRule="auto"/>
              <w:rPr>
                <w:rFonts w:ascii="Calibri" w:eastAsia="Calibri" w:hAnsi="Calibri" w:cs="Times New Roman"/>
              </w:rPr>
            </w:pPr>
            <w:r>
              <w:rPr>
                <w:rFonts w:ascii="Calibri" w:eastAsia="Calibri" w:hAnsi="Calibri" w:cs="Times New Roman"/>
              </w:rPr>
              <w:t>Inert/C+D</w:t>
            </w:r>
          </w:p>
        </w:tc>
        <w:tc>
          <w:tcPr>
            <w:tcW w:w="6640" w:type="dxa"/>
            <w:vAlign w:val="center"/>
          </w:tcPr>
          <w:p w14:paraId="0DDB7065" w14:textId="4D3E530C" w:rsidR="00A507DF" w:rsidRDefault="00A507DF" w:rsidP="00A507DF">
            <w:pPr>
              <w:spacing w:line="276" w:lineRule="auto"/>
              <w:rPr>
                <w:rFonts w:ascii="Calibri" w:eastAsia="Calibri" w:hAnsi="Calibri" w:cs="Times New Roman"/>
              </w:rPr>
            </w:pPr>
            <w:r>
              <w:rPr>
                <w:rFonts w:ascii="Calibri" w:hAnsi="Calibri" w:cs="Calibri"/>
                <w:color w:val="000000"/>
              </w:rPr>
              <w:t>bricks</w:t>
            </w:r>
          </w:p>
        </w:tc>
        <w:tc>
          <w:tcPr>
            <w:tcW w:w="4806" w:type="dxa"/>
            <w:vAlign w:val="center"/>
          </w:tcPr>
          <w:p w14:paraId="36739D65" w14:textId="6B04C1F5" w:rsidR="00A507DF" w:rsidRDefault="00A507DF" w:rsidP="00A507DF">
            <w:pPr>
              <w:spacing w:line="276" w:lineRule="auto"/>
              <w:rPr>
                <w:rFonts w:ascii="Calibri" w:eastAsia="Calibri" w:hAnsi="Calibri" w:cs="Times New Roman"/>
              </w:rPr>
            </w:pPr>
            <w:r>
              <w:rPr>
                <w:rFonts w:ascii="Calibri" w:hAnsi="Calibri" w:cs="Calibri"/>
                <w:color w:val="000000"/>
              </w:rPr>
              <w:t>17 01 02</w:t>
            </w:r>
          </w:p>
        </w:tc>
      </w:tr>
      <w:tr w:rsidR="00BE4EEA" w14:paraId="64E5C3CF" w14:textId="77777777" w:rsidTr="00E86E2D">
        <w:tc>
          <w:tcPr>
            <w:tcW w:w="2972" w:type="dxa"/>
          </w:tcPr>
          <w:p w14:paraId="5AEFDDBD" w14:textId="40EDCD64" w:rsidR="00BE4EEA" w:rsidRDefault="00BE4EEA" w:rsidP="00BE4EEA">
            <w:pPr>
              <w:spacing w:line="276" w:lineRule="auto"/>
              <w:rPr>
                <w:rFonts w:ascii="Calibri" w:eastAsia="Calibri" w:hAnsi="Calibri" w:cs="Times New Roman"/>
              </w:rPr>
            </w:pPr>
            <w:r>
              <w:rPr>
                <w:rFonts w:ascii="Calibri" w:eastAsia="Calibri" w:hAnsi="Calibri" w:cs="Times New Roman"/>
              </w:rPr>
              <w:t>Inert/C+D</w:t>
            </w:r>
          </w:p>
        </w:tc>
        <w:tc>
          <w:tcPr>
            <w:tcW w:w="6640" w:type="dxa"/>
            <w:vAlign w:val="center"/>
          </w:tcPr>
          <w:p w14:paraId="3F1A914C" w14:textId="2DF6F7D5" w:rsidR="00BE4EEA" w:rsidRDefault="00BE4EEA" w:rsidP="00BE4EEA">
            <w:pPr>
              <w:spacing w:line="276" w:lineRule="auto"/>
              <w:rPr>
                <w:rFonts w:ascii="Calibri" w:eastAsia="Calibri" w:hAnsi="Calibri" w:cs="Times New Roman"/>
              </w:rPr>
            </w:pPr>
            <w:r>
              <w:rPr>
                <w:rFonts w:ascii="Calibri" w:hAnsi="Calibri" w:cs="Calibri"/>
                <w:color w:val="000000"/>
              </w:rPr>
              <w:t>tiles and ceramics</w:t>
            </w:r>
          </w:p>
        </w:tc>
        <w:tc>
          <w:tcPr>
            <w:tcW w:w="4806" w:type="dxa"/>
            <w:vAlign w:val="center"/>
          </w:tcPr>
          <w:p w14:paraId="7944F130" w14:textId="768E7367" w:rsidR="00BE4EEA" w:rsidRDefault="00BE4EEA" w:rsidP="00BE4EEA">
            <w:pPr>
              <w:spacing w:line="276" w:lineRule="auto"/>
              <w:rPr>
                <w:rFonts w:ascii="Calibri" w:eastAsia="Calibri" w:hAnsi="Calibri" w:cs="Times New Roman"/>
              </w:rPr>
            </w:pPr>
            <w:r>
              <w:rPr>
                <w:rFonts w:ascii="Calibri" w:hAnsi="Calibri" w:cs="Calibri"/>
                <w:color w:val="000000"/>
              </w:rPr>
              <w:t>17 01 03</w:t>
            </w:r>
          </w:p>
        </w:tc>
      </w:tr>
      <w:tr w:rsidR="002C0B24" w14:paraId="2A9F8ADF" w14:textId="77777777" w:rsidTr="00E86E2D">
        <w:tc>
          <w:tcPr>
            <w:tcW w:w="2972" w:type="dxa"/>
          </w:tcPr>
          <w:p w14:paraId="005DA5FC" w14:textId="7DED4712" w:rsidR="002C0B24" w:rsidRDefault="002C0B24" w:rsidP="002C0B24">
            <w:pPr>
              <w:spacing w:line="276" w:lineRule="auto"/>
              <w:rPr>
                <w:rFonts w:ascii="Calibri" w:eastAsia="Calibri" w:hAnsi="Calibri" w:cs="Times New Roman"/>
              </w:rPr>
            </w:pPr>
            <w:r>
              <w:rPr>
                <w:rFonts w:ascii="Calibri" w:eastAsia="Calibri" w:hAnsi="Calibri" w:cs="Times New Roman"/>
              </w:rPr>
              <w:t>Inert/C+D</w:t>
            </w:r>
          </w:p>
        </w:tc>
        <w:tc>
          <w:tcPr>
            <w:tcW w:w="6640" w:type="dxa"/>
            <w:vAlign w:val="center"/>
          </w:tcPr>
          <w:p w14:paraId="23B5767C" w14:textId="4DC8E003" w:rsidR="002C0B24" w:rsidRDefault="002C0B24" w:rsidP="002C0B24">
            <w:pPr>
              <w:spacing w:line="276" w:lineRule="auto"/>
              <w:rPr>
                <w:rFonts w:ascii="Calibri" w:eastAsia="Calibri" w:hAnsi="Calibri" w:cs="Times New Roman"/>
              </w:rPr>
            </w:pPr>
            <w:r>
              <w:rPr>
                <w:rFonts w:ascii="Calibri" w:hAnsi="Calibri" w:cs="Calibri"/>
                <w:color w:val="000000"/>
              </w:rPr>
              <w:t>mixtures of concrete, bricks, tiles and ceramics other than those mentioned in 17 01 06</w:t>
            </w:r>
          </w:p>
        </w:tc>
        <w:tc>
          <w:tcPr>
            <w:tcW w:w="4806" w:type="dxa"/>
            <w:vAlign w:val="center"/>
          </w:tcPr>
          <w:p w14:paraId="038F46E6" w14:textId="2E46A404" w:rsidR="002C0B24" w:rsidRDefault="002C0B24" w:rsidP="002C0B24">
            <w:pPr>
              <w:spacing w:line="276" w:lineRule="auto"/>
              <w:rPr>
                <w:rFonts w:ascii="Calibri" w:eastAsia="Calibri" w:hAnsi="Calibri" w:cs="Times New Roman"/>
              </w:rPr>
            </w:pPr>
            <w:r>
              <w:rPr>
                <w:rFonts w:ascii="Calibri" w:hAnsi="Calibri" w:cs="Calibri"/>
                <w:color w:val="000000"/>
              </w:rPr>
              <w:t>17 01 07</w:t>
            </w:r>
          </w:p>
        </w:tc>
      </w:tr>
      <w:tr w:rsidR="0083789F" w14:paraId="59FEEFB9" w14:textId="77777777" w:rsidTr="00E86E2D">
        <w:tc>
          <w:tcPr>
            <w:tcW w:w="2972" w:type="dxa"/>
          </w:tcPr>
          <w:p w14:paraId="3F72FB0D" w14:textId="12CC8443" w:rsidR="0083789F" w:rsidRDefault="0083789F" w:rsidP="0083789F">
            <w:pPr>
              <w:spacing w:line="276" w:lineRule="auto"/>
              <w:rPr>
                <w:rFonts w:ascii="Calibri" w:eastAsia="Calibri" w:hAnsi="Calibri" w:cs="Times New Roman"/>
              </w:rPr>
            </w:pPr>
            <w:r>
              <w:rPr>
                <w:rFonts w:ascii="Calibri" w:eastAsia="Calibri" w:hAnsi="Calibri" w:cs="Times New Roman"/>
              </w:rPr>
              <w:t>Inert/C+D</w:t>
            </w:r>
          </w:p>
        </w:tc>
        <w:tc>
          <w:tcPr>
            <w:tcW w:w="6640" w:type="dxa"/>
            <w:vAlign w:val="center"/>
          </w:tcPr>
          <w:p w14:paraId="3915EB61" w14:textId="389FDB14" w:rsidR="0083789F" w:rsidRDefault="0083789F" w:rsidP="0083789F">
            <w:pPr>
              <w:spacing w:line="276" w:lineRule="auto"/>
              <w:rPr>
                <w:rFonts w:ascii="Calibri" w:eastAsia="Calibri" w:hAnsi="Calibri" w:cs="Times New Roman"/>
              </w:rPr>
            </w:pPr>
            <w:r>
              <w:rPr>
                <w:rFonts w:ascii="Calibri" w:hAnsi="Calibri" w:cs="Calibri"/>
                <w:color w:val="000000"/>
              </w:rPr>
              <w:t>glass</w:t>
            </w:r>
          </w:p>
        </w:tc>
        <w:tc>
          <w:tcPr>
            <w:tcW w:w="4806" w:type="dxa"/>
            <w:vAlign w:val="center"/>
          </w:tcPr>
          <w:p w14:paraId="18F3BF4F" w14:textId="67A456A5" w:rsidR="0083789F" w:rsidRDefault="0083789F" w:rsidP="0083789F">
            <w:pPr>
              <w:spacing w:line="276" w:lineRule="auto"/>
              <w:rPr>
                <w:rFonts w:ascii="Calibri" w:eastAsia="Calibri" w:hAnsi="Calibri" w:cs="Times New Roman"/>
              </w:rPr>
            </w:pPr>
            <w:r>
              <w:rPr>
                <w:rFonts w:ascii="Calibri" w:hAnsi="Calibri" w:cs="Calibri"/>
                <w:color w:val="000000"/>
              </w:rPr>
              <w:t>17 02 02</w:t>
            </w:r>
          </w:p>
        </w:tc>
      </w:tr>
      <w:tr w:rsidR="00D510EC" w14:paraId="5FF28F03" w14:textId="77777777" w:rsidTr="00E86E2D">
        <w:tc>
          <w:tcPr>
            <w:tcW w:w="2972" w:type="dxa"/>
          </w:tcPr>
          <w:p w14:paraId="21C985F8" w14:textId="4AFAC898" w:rsidR="00D510EC" w:rsidRDefault="00D510EC" w:rsidP="00D510EC">
            <w:pPr>
              <w:spacing w:line="276" w:lineRule="auto"/>
              <w:rPr>
                <w:rFonts w:ascii="Calibri" w:eastAsia="Calibri" w:hAnsi="Calibri" w:cs="Times New Roman"/>
              </w:rPr>
            </w:pPr>
            <w:r>
              <w:rPr>
                <w:rFonts w:ascii="Calibri" w:eastAsia="Calibri" w:hAnsi="Calibri" w:cs="Times New Roman"/>
              </w:rPr>
              <w:t>Inert/C+D</w:t>
            </w:r>
          </w:p>
        </w:tc>
        <w:tc>
          <w:tcPr>
            <w:tcW w:w="6640" w:type="dxa"/>
            <w:vAlign w:val="center"/>
          </w:tcPr>
          <w:p w14:paraId="4B253F5A" w14:textId="69490F03" w:rsidR="00D510EC" w:rsidRDefault="00D510EC" w:rsidP="00D510EC">
            <w:pPr>
              <w:spacing w:line="276" w:lineRule="auto"/>
              <w:rPr>
                <w:rFonts w:ascii="Calibri" w:eastAsia="Calibri" w:hAnsi="Calibri" w:cs="Times New Roman"/>
              </w:rPr>
            </w:pPr>
            <w:r>
              <w:rPr>
                <w:rFonts w:ascii="Calibri" w:hAnsi="Calibri" w:cs="Calibri"/>
                <w:color w:val="000000"/>
              </w:rPr>
              <w:t>soil and stones other than those mentioned in 17 05 03</w:t>
            </w:r>
          </w:p>
        </w:tc>
        <w:tc>
          <w:tcPr>
            <w:tcW w:w="4806" w:type="dxa"/>
            <w:vAlign w:val="center"/>
          </w:tcPr>
          <w:p w14:paraId="6EFC4BBD" w14:textId="32D1D55C" w:rsidR="00D510EC" w:rsidRDefault="00D510EC" w:rsidP="00D510EC">
            <w:pPr>
              <w:spacing w:line="276" w:lineRule="auto"/>
              <w:rPr>
                <w:rFonts w:ascii="Calibri" w:eastAsia="Calibri" w:hAnsi="Calibri" w:cs="Times New Roman"/>
              </w:rPr>
            </w:pPr>
            <w:r>
              <w:rPr>
                <w:rFonts w:ascii="Calibri" w:hAnsi="Calibri" w:cs="Calibri"/>
                <w:color w:val="000000"/>
              </w:rPr>
              <w:t>17 05 04</w:t>
            </w:r>
          </w:p>
        </w:tc>
      </w:tr>
      <w:tr w:rsidR="00A86F1E" w14:paraId="7799A74D" w14:textId="77777777" w:rsidTr="00E86E2D">
        <w:tc>
          <w:tcPr>
            <w:tcW w:w="2972" w:type="dxa"/>
          </w:tcPr>
          <w:p w14:paraId="776561F1" w14:textId="11EE4949" w:rsidR="00A86F1E" w:rsidRDefault="00A86F1E" w:rsidP="00A86F1E">
            <w:pPr>
              <w:spacing w:line="276" w:lineRule="auto"/>
              <w:rPr>
                <w:rFonts w:ascii="Calibri" w:eastAsia="Calibri" w:hAnsi="Calibri" w:cs="Times New Roman"/>
              </w:rPr>
            </w:pPr>
            <w:r>
              <w:rPr>
                <w:rFonts w:ascii="Calibri" w:eastAsia="Calibri" w:hAnsi="Calibri" w:cs="Times New Roman"/>
              </w:rPr>
              <w:t>Inert/C+D</w:t>
            </w:r>
          </w:p>
        </w:tc>
        <w:tc>
          <w:tcPr>
            <w:tcW w:w="6640" w:type="dxa"/>
            <w:vAlign w:val="center"/>
          </w:tcPr>
          <w:p w14:paraId="076B646C" w14:textId="03D3DFA4" w:rsidR="00A86F1E" w:rsidRDefault="00A86F1E" w:rsidP="00A86F1E">
            <w:pPr>
              <w:spacing w:line="276" w:lineRule="auto"/>
              <w:rPr>
                <w:rFonts w:ascii="Calibri" w:eastAsia="Calibri" w:hAnsi="Calibri" w:cs="Times New Roman"/>
              </w:rPr>
            </w:pPr>
            <w:r>
              <w:rPr>
                <w:rFonts w:ascii="Calibri" w:hAnsi="Calibri" w:cs="Calibri"/>
                <w:color w:val="000000"/>
              </w:rPr>
              <w:t>track ballast other than those mentioned in 17 05 07</w:t>
            </w:r>
          </w:p>
        </w:tc>
        <w:tc>
          <w:tcPr>
            <w:tcW w:w="4806" w:type="dxa"/>
            <w:vAlign w:val="center"/>
          </w:tcPr>
          <w:p w14:paraId="3DF83F1A" w14:textId="723752BE" w:rsidR="00A86F1E" w:rsidRDefault="00A86F1E" w:rsidP="00A86F1E">
            <w:pPr>
              <w:spacing w:line="276" w:lineRule="auto"/>
              <w:rPr>
                <w:rFonts w:ascii="Calibri" w:eastAsia="Calibri" w:hAnsi="Calibri" w:cs="Times New Roman"/>
              </w:rPr>
            </w:pPr>
            <w:r>
              <w:rPr>
                <w:rFonts w:ascii="Calibri" w:hAnsi="Calibri" w:cs="Calibri"/>
                <w:color w:val="000000"/>
              </w:rPr>
              <w:t>17 05 08</w:t>
            </w:r>
          </w:p>
        </w:tc>
      </w:tr>
      <w:tr w:rsidR="0093242C" w14:paraId="050BF2EA" w14:textId="77777777" w:rsidTr="00E86E2D">
        <w:tc>
          <w:tcPr>
            <w:tcW w:w="2972" w:type="dxa"/>
          </w:tcPr>
          <w:p w14:paraId="5CB43386" w14:textId="7D7E35BB" w:rsidR="0093242C" w:rsidRPr="00CA7FE2" w:rsidRDefault="0093242C" w:rsidP="0093242C">
            <w:pPr>
              <w:spacing w:line="276" w:lineRule="auto"/>
              <w:rPr>
                <w:rFonts w:ascii="Calibri" w:eastAsia="Calibri" w:hAnsi="Calibri" w:cs="Times New Roman"/>
              </w:rPr>
            </w:pPr>
            <w:r w:rsidRPr="00CA7FE2">
              <w:rPr>
                <w:rFonts w:ascii="Calibri" w:eastAsia="Calibri" w:hAnsi="Calibri" w:cs="Times New Roman"/>
              </w:rPr>
              <w:t>Inert/C+D</w:t>
            </w:r>
          </w:p>
        </w:tc>
        <w:tc>
          <w:tcPr>
            <w:tcW w:w="6640" w:type="dxa"/>
            <w:vAlign w:val="center"/>
          </w:tcPr>
          <w:p w14:paraId="082993F1" w14:textId="20295699" w:rsidR="0093242C" w:rsidRPr="00CA7FE2" w:rsidRDefault="0093242C" w:rsidP="0093242C">
            <w:pPr>
              <w:spacing w:line="276" w:lineRule="auto"/>
              <w:rPr>
                <w:rFonts w:ascii="Calibri" w:eastAsia="Calibri" w:hAnsi="Calibri" w:cs="Times New Roman"/>
              </w:rPr>
            </w:pPr>
            <w:r w:rsidRPr="00CA7FE2">
              <w:rPr>
                <w:rFonts w:ascii="Calibri" w:hAnsi="Calibri" w:cs="Calibri"/>
                <w:color w:val="000000"/>
              </w:rPr>
              <w:t>gypsum-based construction materials other than those mentioned in 17 08 01</w:t>
            </w:r>
          </w:p>
        </w:tc>
        <w:tc>
          <w:tcPr>
            <w:tcW w:w="4806" w:type="dxa"/>
            <w:vAlign w:val="center"/>
          </w:tcPr>
          <w:p w14:paraId="3E1D4C7B" w14:textId="6CEBFCB1" w:rsidR="0093242C" w:rsidRPr="00CA7FE2" w:rsidRDefault="0093242C" w:rsidP="0093242C">
            <w:pPr>
              <w:spacing w:line="276" w:lineRule="auto"/>
              <w:rPr>
                <w:rFonts w:ascii="Calibri" w:eastAsia="Calibri" w:hAnsi="Calibri" w:cs="Times New Roman"/>
              </w:rPr>
            </w:pPr>
            <w:r w:rsidRPr="00CA7FE2">
              <w:rPr>
                <w:rFonts w:ascii="Calibri" w:hAnsi="Calibri" w:cs="Calibri"/>
                <w:color w:val="000000"/>
              </w:rPr>
              <w:t>17 08 02</w:t>
            </w:r>
          </w:p>
        </w:tc>
      </w:tr>
      <w:tr w:rsidR="0009323D" w14:paraId="645D50F1" w14:textId="77777777" w:rsidTr="00E86E2D">
        <w:tc>
          <w:tcPr>
            <w:tcW w:w="2972" w:type="dxa"/>
          </w:tcPr>
          <w:p w14:paraId="3672A186" w14:textId="6DE03A52" w:rsidR="0009323D" w:rsidRDefault="0009323D" w:rsidP="0009323D">
            <w:pPr>
              <w:spacing w:line="276" w:lineRule="auto"/>
              <w:rPr>
                <w:rFonts w:ascii="Calibri" w:eastAsia="Calibri" w:hAnsi="Calibri" w:cs="Times New Roman"/>
              </w:rPr>
            </w:pPr>
            <w:r>
              <w:rPr>
                <w:rFonts w:ascii="Calibri" w:eastAsia="Calibri" w:hAnsi="Calibri" w:cs="Times New Roman"/>
              </w:rPr>
              <w:lastRenderedPageBreak/>
              <w:t>Inert/C+D</w:t>
            </w:r>
          </w:p>
        </w:tc>
        <w:tc>
          <w:tcPr>
            <w:tcW w:w="6640" w:type="dxa"/>
            <w:vAlign w:val="center"/>
          </w:tcPr>
          <w:p w14:paraId="66AB5317" w14:textId="5A877BFF" w:rsidR="0009323D" w:rsidRDefault="0009323D" w:rsidP="0009323D">
            <w:pPr>
              <w:spacing w:line="276" w:lineRule="auto"/>
              <w:rPr>
                <w:rFonts w:ascii="Calibri" w:eastAsia="Calibri" w:hAnsi="Calibri" w:cs="Times New Roman"/>
              </w:rPr>
            </w:pPr>
            <w:r>
              <w:rPr>
                <w:rFonts w:ascii="Calibri" w:hAnsi="Calibri" w:cs="Calibri"/>
                <w:color w:val="000000"/>
              </w:rPr>
              <w:t xml:space="preserve">mixed construction and demolition </w:t>
            </w:r>
            <w:proofErr w:type="gramStart"/>
            <w:r>
              <w:rPr>
                <w:rFonts w:ascii="Calibri" w:hAnsi="Calibri" w:cs="Calibri"/>
                <w:color w:val="000000"/>
              </w:rPr>
              <w:t>wastes</w:t>
            </w:r>
            <w:proofErr w:type="gramEnd"/>
            <w:r>
              <w:rPr>
                <w:rFonts w:ascii="Calibri" w:hAnsi="Calibri" w:cs="Calibri"/>
                <w:color w:val="000000"/>
              </w:rPr>
              <w:t xml:space="preserve"> other than those mentioned in 17 09 01, 17 09 02 and 17 09 03</w:t>
            </w:r>
          </w:p>
        </w:tc>
        <w:tc>
          <w:tcPr>
            <w:tcW w:w="4806" w:type="dxa"/>
            <w:vAlign w:val="center"/>
          </w:tcPr>
          <w:p w14:paraId="559F8926" w14:textId="1AACC9AB" w:rsidR="0009323D" w:rsidRDefault="0009323D" w:rsidP="0009323D">
            <w:pPr>
              <w:spacing w:line="276" w:lineRule="auto"/>
              <w:rPr>
                <w:rFonts w:ascii="Calibri" w:eastAsia="Calibri" w:hAnsi="Calibri" w:cs="Times New Roman"/>
              </w:rPr>
            </w:pPr>
            <w:r>
              <w:rPr>
                <w:rFonts w:ascii="Calibri" w:hAnsi="Calibri" w:cs="Calibri"/>
                <w:color w:val="000000"/>
              </w:rPr>
              <w:t>17 09 04</w:t>
            </w:r>
          </w:p>
        </w:tc>
      </w:tr>
      <w:tr w:rsidR="005D44B7" w14:paraId="159BC5C1" w14:textId="77777777" w:rsidTr="00E86E2D">
        <w:tc>
          <w:tcPr>
            <w:tcW w:w="2972" w:type="dxa"/>
          </w:tcPr>
          <w:p w14:paraId="6AF71B18" w14:textId="4E2A5180" w:rsidR="005D44B7" w:rsidRDefault="005D44B7" w:rsidP="005D44B7">
            <w:pPr>
              <w:spacing w:line="276" w:lineRule="auto"/>
              <w:rPr>
                <w:rFonts w:ascii="Calibri" w:eastAsia="Calibri" w:hAnsi="Calibri" w:cs="Times New Roman"/>
              </w:rPr>
            </w:pPr>
            <w:r>
              <w:rPr>
                <w:rFonts w:ascii="Calibri" w:eastAsia="Calibri" w:hAnsi="Calibri" w:cs="Times New Roman"/>
              </w:rPr>
              <w:t>Inert/C+D</w:t>
            </w:r>
          </w:p>
        </w:tc>
        <w:tc>
          <w:tcPr>
            <w:tcW w:w="6640" w:type="dxa"/>
            <w:vAlign w:val="center"/>
          </w:tcPr>
          <w:p w14:paraId="24D756FD" w14:textId="3466D4C7" w:rsidR="005D44B7" w:rsidRDefault="005D44B7" w:rsidP="005D44B7">
            <w:pPr>
              <w:spacing w:line="276" w:lineRule="auto"/>
              <w:rPr>
                <w:rFonts w:ascii="Calibri" w:eastAsia="Calibri" w:hAnsi="Calibri" w:cs="Times New Roman"/>
              </w:rPr>
            </w:pPr>
            <w:r>
              <w:rPr>
                <w:rFonts w:ascii="Calibri" w:hAnsi="Calibri" w:cs="Calibri"/>
                <w:color w:val="000000"/>
              </w:rPr>
              <w:t>glass</w:t>
            </w:r>
          </w:p>
        </w:tc>
        <w:tc>
          <w:tcPr>
            <w:tcW w:w="4806" w:type="dxa"/>
            <w:vAlign w:val="center"/>
          </w:tcPr>
          <w:p w14:paraId="7430F7B5" w14:textId="67FDB72C" w:rsidR="005D44B7" w:rsidRDefault="005D44B7" w:rsidP="005D44B7">
            <w:pPr>
              <w:spacing w:line="276" w:lineRule="auto"/>
              <w:rPr>
                <w:rFonts w:ascii="Calibri" w:eastAsia="Calibri" w:hAnsi="Calibri" w:cs="Times New Roman"/>
              </w:rPr>
            </w:pPr>
            <w:r>
              <w:rPr>
                <w:rFonts w:ascii="Calibri" w:hAnsi="Calibri" w:cs="Calibri"/>
                <w:color w:val="000000"/>
              </w:rPr>
              <w:t>19 12 05</w:t>
            </w:r>
          </w:p>
        </w:tc>
      </w:tr>
      <w:tr w:rsidR="00E0213D" w14:paraId="76FC8E4A" w14:textId="77777777" w:rsidTr="00E86E2D">
        <w:tc>
          <w:tcPr>
            <w:tcW w:w="2972" w:type="dxa"/>
          </w:tcPr>
          <w:p w14:paraId="13FE3F47" w14:textId="48858320" w:rsidR="00E0213D" w:rsidRDefault="00E0213D" w:rsidP="00E0213D">
            <w:pPr>
              <w:spacing w:line="276" w:lineRule="auto"/>
              <w:rPr>
                <w:rFonts w:ascii="Calibri" w:eastAsia="Calibri" w:hAnsi="Calibri" w:cs="Times New Roman"/>
              </w:rPr>
            </w:pPr>
            <w:r>
              <w:rPr>
                <w:rFonts w:ascii="Calibri" w:eastAsia="Calibri" w:hAnsi="Calibri" w:cs="Times New Roman"/>
              </w:rPr>
              <w:t>Inert/C+D</w:t>
            </w:r>
          </w:p>
        </w:tc>
        <w:tc>
          <w:tcPr>
            <w:tcW w:w="6640" w:type="dxa"/>
            <w:vAlign w:val="center"/>
          </w:tcPr>
          <w:p w14:paraId="1BCE492F" w14:textId="331880FC" w:rsidR="00E0213D" w:rsidRDefault="00E0213D" w:rsidP="00E0213D">
            <w:pPr>
              <w:spacing w:line="276" w:lineRule="auto"/>
              <w:rPr>
                <w:rFonts w:ascii="Calibri" w:eastAsia="Calibri" w:hAnsi="Calibri" w:cs="Times New Roman"/>
              </w:rPr>
            </w:pPr>
            <w:r>
              <w:rPr>
                <w:rFonts w:ascii="Calibri" w:hAnsi="Calibri" w:cs="Calibri"/>
                <w:color w:val="000000"/>
              </w:rPr>
              <w:t>minerals (for example sand, stones)</w:t>
            </w:r>
          </w:p>
        </w:tc>
        <w:tc>
          <w:tcPr>
            <w:tcW w:w="4806" w:type="dxa"/>
            <w:vAlign w:val="center"/>
          </w:tcPr>
          <w:p w14:paraId="53DA4100" w14:textId="4E19172B" w:rsidR="00E0213D" w:rsidRDefault="00E0213D" w:rsidP="00E0213D">
            <w:pPr>
              <w:spacing w:line="276" w:lineRule="auto"/>
              <w:rPr>
                <w:rFonts w:ascii="Calibri" w:eastAsia="Calibri" w:hAnsi="Calibri" w:cs="Times New Roman"/>
              </w:rPr>
            </w:pPr>
            <w:r>
              <w:rPr>
                <w:rFonts w:ascii="Calibri" w:hAnsi="Calibri" w:cs="Calibri"/>
                <w:color w:val="000000"/>
              </w:rPr>
              <w:t>19 12 09</w:t>
            </w:r>
          </w:p>
        </w:tc>
      </w:tr>
      <w:tr w:rsidR="00E86E2D" w14:paraId="4F8F919C" w14:textId="77777777" w:rsidTr="00E86E2D">
        <w:tc>
          <w:tcPr>
            <w:tcW w:w="2972" w:type="dxa"/>
          </w:tcPr>
          <w:p w14:paraId="51EB9F4C" w14:textId="4504447B" w:rsidR="00E86E2D" w:rsidRDefault="00E86E2D" w:rsidP="00E86E2D">
            <w:pPr>
              <w:spacing w:line="276" w:lineRule="auto"/>
              <w:rPr>
                <w:rFonts w:ascii="Calibri" w:eastAsia="Calibri" w:hAnsi="Calibri" w:cs="Times New Roman"/>
              </w:rPr>
            </w:pPr>
            <w:r>
              <w:rPr>
                <w:rFonts w:ascii="Calibri" w:eastAsia="Calibri" w:hAnsi="Calibri" w:cs="Times New Roman"/>
              </w:rPr>
              <w:t>Inert/C+D</w:t>
            </w:r>
          </w:p>
        </w:tc>
        <w:tc>
          <w:tcPr>
            <w:tcW w:w="6640" w:type="dxa"/>
            <w:vAlign w:val="center"/>
          </w:tcPr>
          <w:p w14:paraId="574B0E89" w14:textId="52993F05" w:rsidR="00E86E2D" w:rsidRDefault="00E86E2D" w:rsidP="00E86E2D">
            <w:pPr>
              <w:spacing w:line="276" w:lineRule="auto"/>
              <w:rPr>
                <w:rFonts w:ascii="Calibri" w:eastAsia="Calibri" w:hAnsi="Calibri" w:cs="Times New Roman"/>
              </w:rPr>
            </w:pPr>
            <w:r>
              <w:rPr>
                <w:rFonts w:ascii="Calibri" w:hAnsi="Calibri" w:cs="Calibri"/>
                <w:color w:val="000000"/>
              </w:rPr>
              <w:t>soil and stones</w:t>
            </w:r>
          </w:p>
        </w:tc>
        <w:tc>
          <w:tcPr>
            <w:tcW w:w="4806" w:type="dxa"/>
            <w:vAlign w:val="center"/>
          </w:tcPr>
          <w:p w14:paraId="75797522" w14:textId="5C138532" w:rsidR="00E86E2D" w:rsidRDefault="00E86E2D" w:rsidP="00E86E2D">
            <w:pPr>
              <w:spacing w:line="276" w:lineRule="auto"/>
              <w:rPr>
                <w:rFonts w:ascii="Calibri" w:eastAsia="Calibri" w:hAnsi="Calibri" w:cs="Times New Roman"/>
              </w:rPr>
            </w:pPr>
            <w:r>
              <w:rPr>
                <w:rFonts w:ascii="Calibri" w:hAnsi="Calibri" w:cs="Calibri"/>
                <w:color w:val="000000"/>
              </w:rPr>
              <w:t>20 02 02</w:t>
            </w:r>
          </w:p>
        </w:tc>
      </w:tr>
    </w:tbl>
    <w:p w14:paraId="72A3F7FD" w14:textId="77777777" w:rsidR="00EE3970" w:rsidRPr="00D96D2D" w:rsidRDefault="00EE3970" w:rsidP="00D73374">
      <w:pPr>
        <w:spacing w:line="276" w:lineRule="auto"/>
        <w:rPr>
          <w:rFonts w:ascii="Calibri" w:eastAsia="Calibri" w:hAnsi="Calibri" w:cs="Times New Roman"/>
        </w:rPr>
      </w:pPr>
    </w:p>
    <w:sectPr w:rsidR="00EE3970" w:rsidRPr="00D96D2D" w:rsidSect="00155F04">
      <w:pgSz w:w="16838" w:h="11906" w:orient="landscape" w:code="9"/>
      <w:pgMar w:top="1440" w:right="1276" w:bottom="1440" w:left="1134" w:header="709" w:footer="709"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4DC48" w14:textId="77777777" w:rsidR="001B080B" w:rsidRDefault="001B080B" w:rsidP="005E3952">
      <w:r>
        <w:separator/>
      </w:r>
    </w:p>
  </w:endnote>
  <w:endnote w:type="continuationSeparator" w:id="0">
    <w:p w14:paraId="321708B4" w14:textId="77777777" w:rsidR="001B080B" w:rsidRDefault="001B080B" w:rsidP="005E3952">
      <w:r>
        <w:continuationSeparator/>
      </w:r>
    </w:p>
  </w:endnote>
  <w:endnote w:type="continuationNotice" w:id="1">
    <w:p w14:paraId="2D194C69" w14:textId="77777777" w:rsidR="001B080B" w:rsidRDefault="001B0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925660"/>
      <w:docPartObj>
        <w:docPartGallery w:val="Page Numbers (Bottom of Page)"/>
        <w:docPartUnique/>
      </w:docPartObj>
    </w:sdtPr>
    <w:sdtContent>
      <w:p w14:paraId="4ACF5CBD" w14:textId="77777777" w:rsidR="008C15CC" w:rsidRDefault="008C15CC">
        <w:pPr>
          <w:pStyle w:val="Footer"/>
        </w:pPr>
        <w:r>
          <w:rPr>
            <w:noProof/>
            <w:lang w:eastAsia="en-GB"/>
          </w:rPr>
          <mc:AlternateContent>
            <mc:Choice Requires="wps">
              <w:drawing>
                <wp:anchor distT="0" distB="0" distL="114300" distR="114300" simplePos="0" relativeHeight="251658240" behindDoc="0" locked="0" layoutInCell="1" allowOverlap="1" wp14:anchorId="4672F20B" wp14:editId="64554A82">
                  <wp:simplePos x="0" y="0"/>
                  <wp:positionH relativeFrom="rightMargin">
                    <wp:align>center</wp:align>
                  </wp:positionH>
                  <wp:positionV relativeFrom="bottomMargin">
                    <wp:align>center</wp:align>
                  </wp:positionV>
                  <wp:extent cx="565785" cy="19177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5B09BAA" w14:textId="2473C35E" w:rsidR="008C15CC" w:rsidRDefault="008C15CC">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DE3A2B" w:rsidRPr="00DE3A2B">
                                <w:rPr>
                                  <w:noProof/>
                                  <w:color w:val="ED7D31" w:themeColor="accent2"/>
                                </w:rPr>
                                <w:t>3</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672F20B" id="Rectangle 11" o:spid="_x0000_s1026" alt="&quot;&quot;"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5B09BAA" w14:textId="2473C35E" w:rsidR="008C15CC" w:rsidRDefault="008C15CC">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DE3A2B" w:rsidRPr="00DE3A2B">
                          <w:rPr>
                            <w:noProof/>
                            <w:color w:val="ED7D31" w:themeColor="accent2"/>
                          </w:rPr>
                          <w:t>3</w:t>
                        </w:r>
                        <w:r>
                          <w:rPr>
                            <w:noProof/>
                            <w:color w:val="ED7D31"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D08C" w14:textId="62CBBE47" w:rsidR="008C15CC" w:rsidRPr="00624739" w:rsidRDefault="008C15CC" w:rsidP="000731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8E4CA" w14:textId="77777777" w:rsidR="001B080B" w:rsidRDefault="001B080B" w:rsidP="005E3952">
      <w:r>
        <w:separator/>
      </w:r>
    </w:p>
  </w:footnote>
  <w:footnote w:type="continuationSeparator" w:id="0">
    <w:p w14:paraId="43522B32" w14:textId="77777777" w:rsidR="001B080B" w:rsidRDefault="001B080B" w:rsidP="005E3952">
      <w:r>
        <w:continuationSeparator/>
      </w:r>
    </w:p>
  </w:footnote>
  <w:footnote w:type="continuationNotice" w:id="1">
    <w:p w14:paraId="103119A2" w14:textId="77777777" w:rsidR="001B080B" w:rsidRDefault="001B080B"/>
  </w:footnote>
  <w:footnote w:id="2">
    <w:p w14:paraId="7A31CA91" w14:textId="77777777" w:rsidR="00681D76" w:rsidRPr="00BA6935" w:rsidRDefault="00681D76" w:rsidP="00B8351E">
      <w:pPr>
        <w:pStyle w:val="FootnoteText"/>
        <w:rPr>
          <w:rFonts w:ascii="Arial" w:hAnsi="Arial" w:cs="Arial"/>
          <w:sz w:val="16"/>
          <w:szCs w:val="16"/>
        </w:rPr>
      </w:pPr>
      <w:r w:rsidRPr="00BA6935">
        <w:rPr>
          <w:rStyle w:val="FootnoteReference"/>
          <w:rFonts w:ascii="Arial" w:hAnsi="Arial" w:cs="Arial"/>
          <w:sz w:val="16"/>
          <w:szCs w:val="16"/>
        </w:rPr>
        <w:footnoteRef/>
      </w:r>
      <w:r w:rsidRPr="00BA6935">
        <w:rPr>
          <w:rFonts w:ascii="Arial" w:hAnsi="Arial" w:cs="Arial"/>
          <w:sz w:val="16"/>
          <w:szCs w:val="16"/>
        </w:rPr>
        <w:t xml:space="preserve"> calculated using the previous </w:t>
      </w:r>
      <w:proofErr w:type="gramStart"/>
      <w:r w:rsidRPr="00BA6935">
        <w:rPr>
          <w:rFonts w:ascii="Arial" w:hAnsi="Arial" w:cs="Arial"/>
          <w:sz w:val="16"/>
          <w:szCs w:val="16"/>
        </w:rPr>
        <w:t>ten year</w:t>
      </w:r>
      <w:proofErr w:type="gramEnd"/>
      <w:r w:rsidRPr="00BA6935">
        <w:rPr>
          <w:rFonts w:ascii="Arial" w:hAnsi="Arial" w:cs="Arial"/>
          <w:sz w:val="16"/>
          <w:szCs w:val="16"/>
        </w:rPr>
        <w:t xml:space="preserve"> average sales figures</w:t>
      </w:r>
    </w:p>
  </w:footnote>
  <w:footnote w:id="3">
    <w:p w14:paraId="333681E4" w14:textId="77777777" w:rsidR="00023091" w:rsidRPr="00FC4E2D" w:rsidRDefault="00023091" w:rsidP="00023091">
      <w:pPr>
        <w:pStyle w:val="FootnoteText"/>
        <w:rPr>
          <w:rFonts w:cstheme="minorHAnsi"/>
          <w:sz w:val="18"/>
          <w:szCs w:val="18"/>
        </w:rPr>
      </w:pPr>
    </w:p>
  </w:footnote>
  <w:footnote w:id="4">
    <w:p w14:paraId="419B7BF5" w14:textId="123A191A" w:rsidR="006E3F73" w:rsidRDefault="006E3F73">
      <w:pPr>
        <w:pStyle w:val="FootnoteText"/>
      </w:pPr>
      <w:r>
        <w:rPr>
          <w:rStyle w:val="FootnoteReference"/>
        </w:rPr>
        <w:footnoteRef/>
      </w:r>
      <w:r>
        <w:t xml:space="preserve"> NPPF paragraph 215</w:t>
      </w:r>
    </w:p>
  </w:footnote>
  <w:footnote w:id="5">
    <w:p w14:paraId="43334FD7" w14:textId="2B088824" w:rsidR="008C15CC" w:rsidRPr="00E96E70" w:rsidRDefault="008C15CC">
      <w:pPr>
        <w:pStyle w:val="FootnoteText"/>
        <w:rPr>
          <w:sz w:val="18"/>
          <w:szCs w:val="18"/>
        </w:rPr>
      </w:pPr>
      <w:r>
        <w:rPr>
          <w:rStyle w:val="FootnoteReference"/>
        </w:rPr>
        <w:footnoteRef/>
      </w:r>
      <w:r>
        <w:t xml:space="preserve"> </w:t>
      </w:r>
      <w:r w:rsidRPr="00E96E70">
        <w:rPr>
          <w:sz w:val="18"/>
          <w:szCs w:val="18"/>
        </w:rPr>
        <w:t>G</w:t>
      </w:r>
      <w:r>
        <w:rPr>
          <w:sz w:val="18"/>
          <w:szCs w:val="18"/>
        </w:rPr>
        <w:t>len Quarry is operational for the</w:t>
      </w:r>
      <w:r w:rsidRPr="00E96E70">
        <w:rPr>
          <w:sz w:val="18"/>
          <w:szCs w:val="18"/>
        </w:rPr>
        <w:t xml:space="preserve"> product</w:t>
      </w:r>
      <w:r>
        <w:rPr>
          <w:sz w:val="18"/>
          <w:szCs w:val="18"/>
        </w:rPr>
        <w:t xml:space="preserve">ion of </w:t>
      </w:r>
      <w:proofErr w:type="gramStart"/>
      <w:r>
        <w:rPr>
          <w:sz w:val="18"/>
          <w:szCs w:val="18"/>
        </w:rPr>
        <w:t>aggregates, but</w:t>
      </w:r>
      <w:proofErr w:type="gramEnd"/>
      <w:r w:rsidRPr="00E96E70">
        <w:rPr>
          <w:sz w:val="18"/>
          <w:szCs w:val="18"/>
        </w:rPr>
        <w:t xml:space="preserve"> is exhausted from a reserve </w:t>
      </w:r>
      <w:r>
        <w:rPr>
          <w:sz w:val="18"/>
          <w:szCs w:val="18"/>
        </w:rPr>
        <w:t>perspective. T</w:t>
      </w:r>
      <w:r w:rsidRPr="00E96E70">
        <w:rPr>
          <w:sz w:val="18"/>
          <w:szCs w:val="18"/>
        </w:rPr>
        <w:t>he raw materials for Marshalls’ aggregate productio</w:t>
      </w:r>
      <w:r>
        <w:rPr>
          <w:sz w:val="18"/>
          <w:szCs w:val="18"/>
        </w:rPr>
        <w:t xml:space="preserve">n </w:t>
      </w:r>
      <w:proofErr w:type="gramStart"/>
      <w:r>
        <w:rPr>
          <w:sz w:val="18"/>
          <w:szCs w:val="18"/>
        </w:rPr>
        <w:t>comes</w:t>
      </w:r>
      <w:proofErr w:type="gramEnd"/>
      <w:r>
        <w:rPr>
          <w:sz w:val="18"/>
          <w:szCs w:val="18"/>
        </w:rPr>
        <w:t xml:space="preserve"> from </w:t>
      </w:r>
      <w:r w:rsidRPr="00E96E70">
        <w:rPr>
          <w:sz w:val="18"/>
          <w:szCs w:val="18"/>
        </w:rPr>
        <w:t>Holme Hall Quarry</w:t>
      </w:r>
      <w:r>
        <w:rPr>
          <w:sz w:val="18"/>
          <w:szCs w:val="18"/>
        </w:rPr>
        <w:t>.</w:t>
      </w:r>
    </w:p>
  </w:footnote>
  <w:footnote w:id="6">
    <w:p w14:paraId="3D3D24F8" w14:textId="77777777" w:rsidR="00411AEB" w:rsidRPr="00105DC0" w:rsidRDefault="00411AEB" w:rsidP="00454E25">
      <w:pPr>
        <w:pStyle w:val="FootnoteText"/>
        <w:rPr>
          <w:sz w:val="18"/>
          <w:szCs w:val="18"/>
        </w:rPr>
      </w:pPr>
      <w:r w:rsidRPr="00105DC0">
        <w:rPr>
          <w:rStyle w:val="FootnoteReference"/>
          <w:sz w:val="18"/>
          <w:szCs w:val="18"/>
        </w:rPr>
        <w:footnoteRef/>
      </w:r>
      <w:r w:rsidRPr="00105DC0">
        <w:rPr>
          <w:sz w:val="18"/>
          <w:szCs w:val="18"/>
        </w:rPr>
        <w:t xml:space="preserve"> Figure </w:t>
      </w:r>
      <w:r>
        <w:rPr>
          <w:sz w:val="18"/>
          <w:szCs w:val="18"/>
        </w:rPr>
        <w:t>sourced</w:t>
      </w:r>
      <w:r w:rsidRPr="00105DC0">
        <w:rPr>
          <w:sz w:val="18"/>
          <w:szCs w:val="18"/>
        </w:rPr>
        <w:t xml:space="preserve"> from the ‘2014 Aggregates Mineral Survey for England and </w:t>
      </w:r>
      <w:proofErr w:type="spellStart"/>
      <w:r w:rsidRPr="00105DC0">
        <w:rPr>
          <w:sz w:val="18"/>
          <w:szCs w:val="18"/>
        </w:rPr>
        <w:t>Wales’</w:t>
      </w:r>
      <w:proofErr w:type="spellEnd"/>
    </w:p>
  </w:footnote>
  <w:footnote w:id="7">
    <w:p w14:paraId="1A9B5661" w14:textId="77777777" w:rsidR="00411AEB" w:rsidRPr="00105DC0" w:rsidRDefault="00411AEB" w:rsidP="00454E25">
      <w:pPr>
        <w:pStyle w:val="FootnoteText"/>
        <w:rPr>
          <w:sz w:val="18"/>
          <w:szCs w:val="18"/>
        </w:rPr>
      </w:pPr>
      <w:r w:rsidRPr="00105DC0">
        <w:rPr>
          <w:rStyle w:val="FootnoteReference"/>
          <w:sz w:val="18"/>
          <w:szCs w:val="18"/>
        </w:rPr>
        <w:footnoteRef/>
      </w:r>
      <w:r w:rsidRPr="00105DC0">
        <w:rPr>
          <w:sz w:val="18"/>
          <w:szCs w:val="18"/>
        </w:rPr>
        <w:t xml:space="preserve"> Figure </w:t>
      </w:r>
      <w:r>
        <w:rPr>
          <w:sz w:val="18"/>
          <w:szCs w:val="18"/>
        </w:rPr>
        <w:t>sourced</w:t>
      </w:r>
      <w:r w:rsidRPr="00105DC0">
        <w:rPr>
          <w:sz w:val="18"/>
          <w:szCs w:val="18"/>
        </w:rPr>
        <w:t xml:space="preserve"> from the ‘2019 Aggregates Mineral Survey for England and </w:t>
      </w:r>
      <w:proofErr w:type="spellStart"/>
      <w:r w:rsidRPr="00105DC0">
        <w:rPr>
          <w:sz w:val="18"/>
          <w:szCs w:val="18"/>
        </w:rPr>
        <w:t>Wales’</w:t>
      </w:r>
      <w:proofErr w:type="spellEnd"/>
    </w:p>
  </w:footnote>
  <w:footnote w:id="8">
    <w:p w14:paraId="5DFB4B36" w14:textId="336375B0" w:rsidR="008C15CC" w:rsidRDefault="008C15CC">
      <w:pPr>
        <w:pStyle w:val="FootnoteText"/>
      </w:pPr>
      <w:r w:rsidRPr="00105DC0">
        <w:rPr>
          <w:rStyle w:val="FootnoteReference"/>
          <w:sz w:val="18"/>
          <w:szCs w:val="18"/>
        </w:rPr>
        <w:footnoteRef/>
      </w:r>
      <w:r w:rsidRPr="00105DC0">
        <w:rPr>
          <w:sz w:val="18"/>
          <w:szCs w:val="18"/>
        </w:rPr>
        <w:t xml:space="preserve"> </w:t>
      </w:r>
      <w:proofErr w:type="gramStart"/>
      <w:r w:rsidRPr="00105DC0">
        <w:rPr>
          <w:sz w:val="18"/>
          <w:szCs w:val="18"/>
        </w:rPr>
        <w:t>Ten year</w:t>
      </w:r>
      <w:proofErr w:type="gramEnd"/>
      <w:r w:rsidRPr="00105DC0">
        <w:rPr>
          <w:sz w:val="18"/>
          <w:szCs w:val="18"/>
        </w:rPr>
        <w:t xml:space="preserve"> average sales = 0.</w:t>
      </w:r>
      <w:r w:rsidR="00670237">
        <w:rPr>
          <w:sz w:val="18"/>
          <w:szCs w:val="18"/>
        </w:rPr>
        <w:t>4</w:t>
      </w:r>
      <w:r w:rsidR="00B231B5">
        <w:rPr>
          <w:sz w:val="18"/>
          <w:szCs w:val="18"/>
        </w:rPr>
        <w:t>9</w:t>
      </w:r>
      <w:r w:rsidRPr="00105DC0">
        <w:rPr>
          <w:sz w:val="18"/>
          <w:szCs w:val="18"/>
        </w:rPr>
        <w:t>Mt, three year average sales = 0.57Mt, and Local Plan fixed rate = 0.42Mt</w:t>
      </w:r>
    </w:p>
  </w:footnote>
  <w:footnote w:id="9">
    <w:p w14:paraId="0DE90A9E" w14:textId="77777777" w:rsidR="006D35DA" w:rsidRPr="00A36946" w:rsidRDefault="006D35DA" w:rsidP="006D35DA">
      <w:pPr>
        <w:pStyle w:val="FootnoteText"/>
        <w:rPr>
          <w:rFonts w:ascii="Arial" w:hAnsi="Arial" w:cs="Arial"/>
          <w:sz w:val="18"/>
          <w:szCs w:val="18"/>
        </w:rPr>
      </w:pPr>
      <w:r w:rsidRPr="00A36946">
        <w:rPr>
          <w:rStyle w:val="FootnoteReference"/>
          <w:rFonts w:ascii="Arial" w:hAnsi="Arial" w:cs="Arial"/>
          <w:sz w:val="18"/>
          <w:szCs w:val="18"/>
        </w:rPr>
        <w:footnoteRef/>
      </w:r>
      <w:r w:rsidRPr="00A36946">
        <w:rPr>
          <w:rFonts w:ascii="Arial" w:hAnsi="Arial" w:cs="Arial"/>
          <w:sz w:val="18"/>
          <w:szCs w:val="18"/>
        </w:rPr>
        <w:t xml:space="preserve"> Figure comes directly from the ‘2014 Aggregates Mineral Survey for England and </w:t>
      </w:r>
      <w:proofErr w:type="spellStart"/>
      <w:r w:rsidRPr="00A36946">
        <w:rPr>
          <w:rFonts w:ascii="Arial" w:hAnsi="Arial" w:cs="Arial"/>
          <w:sz w:val="18"/>
          <w:szCs w:val="18"/>
        </w:rPr>
        <w:t>Wales’</w:t>
      </w:r>
      <w:proofErr w:type="spellEnd"/>
    </w:p>
  </w:footnote>
  <w:footnote w:id="10">
    <w:p w14:paraId="0225A747" w14:textId="77777777" w:rsidR="006D35DA" w:rsidRPr="00A36946" w:rsidRDefault="006D35DA" w:rsidP="006D35DA">
      <w:pPr>
        <w:pStyle w:val="FootnoteText"/>
        <w:rPr>
          <w:rFonts w:ascii="Arial" w:hAnsi="Arial" w:cs="Arial"/>
          <w:sz w:val="18"/>
          <w:szCs w:val="18"/>
        </w:rPr>
      </w:pPr>
      <w:r w:rsidRPr="00A36946">
        <w:rPr>
          <w:rStyle w:val="FootnoteReference"/>
          <w:rFonts w:ascii="Arial" w:hAnsi="Arial" w:cs="Arial"/>
          <w:sz w:val="18"/>
          <w:szCs w:val="18"/>
        </w:rPr>
        <w:footnoteRef/>
      </w:r>
      <w:r w:rsidRPr="00A36946">
        <w:rPr>
          <w:rFonts w:ascii="Arial" w:hAnsi="Arial" w:cs="Arial"/>
          <w:sz w:val="18"/>
          <w:szCs w:val="18"/>
        </w:rPr>
        <w:t xml:space="preserve"> Figure comes directly from the ‘2019 Aggregates Mineral Survey for England and </w:t>
      </w:r>
      <w:proofErr w:type="spellStart"/>
      <w:r w:rsidRPr="00A36946">
        <w:rPr>
          <w:rFonts w:ascii="Arial" w:hAnsi="Arial" w:cs="Arial"/>
          <w:sz w:val="18"/>
          <w:szCs w:val="18"/>
        </w:rPr>
        <w:t>Wales’</w:t>
      </w:r>
      <w:proofErr w:type="spellEnd"/>
    </w:p>
  </w:footnote>
  <w:footnote w:id="11">
    <w:p w14:paraId="1F8F36C3" w14:textId="5E26DDB6" w:rsidR="008C15CC" w:rsidRPr="00BB0A0A" w:rsidRDefault="008C15CC" w:rsidP="00276C70">
      <w:pPr>
        <w:pStyle w:val="FootnoteText"/>
        <w:rPr>
          <w:sz w:val="18"/>
          <w:szCs w:val="18"/>
        </w:rPr>
      </w:pPr>
      <w:r w:rsidRPr="00A36946">
        <w:rPr>
          <w:rStyle w:val="FootnoteReference"/>
          <w:rFonts w:ascii="Arial" w:hAnsi="Arial" w:cs="Arial"/>
          <w:sz w:val="18"/>
          <w:szCs w:val="18"/>
        </w:rPr>
        <w:footnoteRef/>
      </w:r>
      <w:r w:rsidRPr="00A36946">
        <w:rPr>
          <w:rFonts w:ascii="Arial" w:hAnsi="Arial" w:cs="Arial"/>
          <w:sz w:val="18"/>
          <w:szCs w:val="18"/>
        </w:rPr>
        <w:t xml:space="preserve"> </w:t>
      </w:r>
      <w:proofErr w:type="gramStart"/>
      <w:r w:rsidRPr="00A36946">
        <w:rPr>
          <w:rFonts w:ascii="Arial" w:hAnsi="Arial" w:cs="Arial"/>
          <w:sz w:val="18"/>
          <w:szCs w:val="18"/>
        </w:rPr>
        <w:t>Ten year</w:t>
      </w:r>
      <w:proofErr w:type="gramEnd"/>
      <w:r w:rsidRPr="00A36946">
        <w:rPr>
          <w:rFonts w:ascii="Arial" w:hAnsi="Arial" w:cs="Arial"/>
          <w:sz w:val="18"/>
          <w:szCs w:val="18"/>
        </w:rPr>
        <w:t xml:space="preserve"> average sales (crushed rock) = 2.0Mt, three year average sales = 2.7Mt, and Local Plan fixed rate = 2.0Mt</w:t>
      </w:r>
    </w:p>
  </w:footnote>
  <w:footnote w:id="12">
    <w:p w14:paraId="15E31318" w14:textId="255D468E" w:rsidR="00A62C85" w:rsidRDefault="00A62C85">
      <w:pPr>
        <w:pStyle w:val="FootnoteText"/>
      </w:pPr>
      <w:r>
        <w:rPr>
          <w:rStyle w:val="FootnoteReference"/>
        </w:rPr>
        <w:footnoteRef/>
      </w:r>
      <w:r>
        <w:t xml:space="preserve"> Based on </w:t>
      </w:r>
      <w:proofErr w:type="gramStart"/>
      <w:r>
        <w:t>ten year</w:t>
      </w:r>
      <w:proofErr w:type="gramEnd"/>
      <w:r>
        <w:t xml:space="preserve"> average sales</w:t>
      </w:r>
    </w:p>
  </w:footnote>
  <w:footnote w:id="13">
    <w:p w14:paraId="051ED153" w14:textId="4193EF45" w:rsidR="009E2FF0" w:rsidRDefault="009E2FF0">
      <w:pPr>
        <w:pStyle w:val="FootnoteText"/>
      </w:pPr>
      <w:r>
        <w:rPr>
          <w:rStyle w:val="FootnoteReference"/>
        </w:rPr>
        <w:footnoteRef/>
      </w:r>
      <w:r>
        <w:t xml:space="preserve"> Approved 02.10.2023</w:t>
      </w:r>
    </w:p>
  </w:footnote>
  <w:footnote w:id="14">
    <w:p w14:paraId="51CB276D" w14:textId="27C0911B" w:rsidR="00864A20" w:rsidRDefault="00864A20">
      <w:pPr>
        <w:pStyle w:val="FootnoteText"/>
      </w:pPr>
      <w:r>
        <w:rPr>
          <w:rStyle w:val="FootnoteReference"/>
        </w:rPr>
        <w:footnoteRef/>
      </w:r>
      <w:r>
        <w:t xml:space="preserve"> </w:t>
      </w:r>
      <w:r w:rsidR="00F367A1" w:rsidRPr="00F367A1">
        <w:t>Figures sourced from WDI 202</w:t>
      </w:r>
      <w:r w:rsidR="00D83C06">
        <w:t>3</w:t>
      </w:r>
      <w:r w:rsidR="00DD1D86">
        <w:t>:</w:t>
      </w:r>
      <w:r w:rsidR="00F367A1" w:rsidRPr="00F367A1">
        <w:t xml:space="preserve"> Filtered by Basic Waste Category 'Inert/C+D', EWC chapter 'Construction and Demolition', and SOC Category: Mineral Waste (category includes combustion waste, naturally occurring minerals, construction and demolition waste, various mineral wastes)</w:t>
      </w:r>
    </w:p>
  </w:footnote>
  <w:footnote w:id="15">
    <w:p w14:paraId="4A15FAC5" w14:textId="6AF6EA2A" w:rsidR="006F6E49" w:rsidRPr="00D84865" w:rsidRDefault="006F6E49">
      <w:pPr>
        <w:pStyle w:val="FootnoteText"/>
        <w:rPr>
          <w:rFonts w:ascii="Arial" w:hAnsi="Arial" w:cs="Arial"/>
        </w:rPr>
      </w:pPr>
      <w:r w:rsidRPr="00D84865">
        <w:rPr>
          <w:rStyle w:val="FootnoteReference"/>
          <w:rFonts w:ascii="Arial" w:hAnsi="Arial" w:cs="Arial"/>
        </w:rPr>
        <w:footnoteRef/>
      </w:r>
      <w:r w:rsidRPr="00D84865">
        <w:rPr>
          <w:rFonts w:ascii="Arial" w:hAnsi="Arial" w:cs="Arial"/>
        </w:rPr>
        <w:t xml:space="preserve"> </w:t>
      </w:r>
      <w:r w:rsidRPr="00D84865">
        <w:rPr>
          <w:rFonts w:ascii="Arial" w:hAnsi="Arial" w:cs="Arial"/>
          <w:sz w:val="18"/>
          <w:szCs w:val="18"/>
        </w:rPr>
        <w:t>Currently used for extracting high quality dimension stone, although has permission to extract aggregate.</w:t>
      </w:r>
    </w:p>
  </w:footnote>
  <w:footnote w:id="16">
    <w:p w14:paraId="5434945B" w14:textId="77777777" w:rsidR="008C15CC" w:rsidRPr="00A36946" w:rsidRDefault="008C15CC" w:rsidP="00181CDD">
      <w:pPr>
        <w:pStyle w:val="FootnoteText"/>
        <w:rPr>
          <w:rFonts w:ascii="Arial" w:hAnsi="Arial" w:cs="Arial"/>
          <w:sz w:val="18"/>
          <w:szCs w:val="18"/>
        </w:rPr>
      </w:pPr>
      <w:r w:rsidRPr="00D84865">
        <w:rPr>
          <w:rStyle w:val="FootnoteReference"/>
          <w:rFonts w:ascii="Arial" w:hAnsi="Arial" w:cs="Arial"/>
          <w:sz w:val="18"/>
          <w:szCs w:val="18"/>
        </w:rPr>
        <w:footnoteRef/>
      </w:r>
      <w:r w:rsidRPr="00D84865">
        <w:rPr>
          <w:rFonts w:ascii="Arial" w:hAnsi="Arial" w:cs="Arial"/>
          <w:sz w:val="18"/>
          <w:szCs w:val="18"/>
        </w:rPr>
        <w:t xml:space="preserve"> </w:t>
      </w:r>
      <w:proofErr w:type="gramStart"/>
      <w:r w:rsidRPr="00D84865">
        <w:rPr>
          <w:rFonts w:ascii="Arial" w:hAnsi="Arial" w:cs="Arial"/>
          <w:sz w:val="18"/>
          <w:szCs w:val="18"/>
        </w:rPr>
        <w:t>A brief summary</w:t>
      </w:r>
      <w:proofErr w:type="gramEnd"/>
      <w:r w:rsidRPr="00D84865">
        <w:rPr>
          <w:rFonts w:ascii="Arial" w:hAnsi="Arial" w:cs="Arial"/>
          <w:sz w:val="18"/>
          <w:szCs w:val="18"/>
        </w:rPr>
        <w:t xml:space="preserve"> of the conclusions of the 2014 Marine Aggregates study can be found in paragraph 14 of the 2015 LAA. For reserves and resources see paragraph 50 of the 2016 LAA</w:t>
      </w:r>
    </w:p>
  </w:footnote>
  <w:footnote w:id="17">
    <w:p w14:paraId="6F6443BE" w14:textId="23756685" w:rsidR="008C15CC" w:rsidRPr="00A36946" w:rsidRDefault="008C15CC">
      <w:pPr>
        <w:pStyle w:val="FootnoteText"/>
        <w:rPr>
          <w:rFonts w:ascii="Arial" w:hAnsi="Arial" w:cs="Arial"/>
          <w:sz w:val="18"/>
          <w:szCs w:val="18"/>
        </w:rPr>
      </w:pPr>
      <w:r>
        <w:rPr>
          <w:rStyle w:val="FootnoteReference"/>
        </w:rPr>
        <w:footnoteRef/>
      </w:r>
      <w:r>
        <w:t xml:space="preserve"> </w:t>
      </w:r>
      <w:r w:rsidRPr="00A36946">
        <w:rPr>
          <w:rFonts w:ascii="Arial" w:hAnsi="Arial" w:cs="Arial"/>
          <w:sz w:val="18"/>
          <w:szCs w:val="18"/>
        </w:rPr>
        <w:t>Base date 2018</w:t>
      </w:r>
    </w:p>
  </w:footnote>
  <w:footnote w:id="18">
    <w:p w14:paraId="65B428BD" w14:textId="05133DD0" w:rsidR="00C44D4E" w:rsidRDefault="00C44D4E">
      <w:pPr>
        <w:pStyle w:val="FootnoteText"/>
      </w:pPr>
      <w:r>
        <w:rPr>
          <w:rStyle w:val="FootnoteReference"/>
        </w:rPr>
        <w:footnoteRef/>
      </w:r>
      <w:r>
        <w:t xml:space="preserve"> </w:t>
      </w:r>
      <w:r w:rsidR="007C4104">
        <w:t>Doncaster Local Plan Tables 5, 6 and 7.</w:t>
      </w:r>
    </w:p>
  </w:footnote>
  <w:footnote w:id="19">
    <w:p w14:paraId="52237F8C" w14:textId="55D10CDD" w:rsidR="008C15CC" w:rsidRPr="00646356" w:rsidRDefault="008C15CC">
      <w:pPr>
        <w:pStyle w:val="FootnoteText"/>
        <w:rPr>
          <w:rFonts w:ascii="Arial" w:hAnsi="Arial" w:cs="Arial"/>
        </w:rPr>
      </w:pPr>
      <w:r w:rsidRPr="00A36946">
        <w:rPr>
          <w:rStyle w:val="FootnoteReference"/>
          <w:rFonts w:ascii="Arial" w:hAnsi="Arial" w:cs="Arial"/>
          <w:sz w:val="18"/>
          <w:szCs w:val="18"/>
        </w:rPr>
        <w:footnoteRef/>
      </w:r>
      <w:r w:rsidRPr="00A36946">
        <w:rPr>
          <w:rFonts w:ascii="Arial" w:hAnsi="Arial" w:cs="Arial"/>
          <w:sz w:val="18"/>
          <w:szCs w:val="18"/>
        </w:rPr>
        <w:t xml:space="preserve"> A copy of the ‘Forecasting the Demand for Aggregate’ evidence base document can be obtained by emailing </w:t>
      </w:r>
      <w:hyperlink r:id="rId1" w:history="1">
        <w:r w:rsidRPr="00A36946">
          <w:rPr>
            <w:rStyle w:val="Hyperlink"/>
            <w:rFonts w:ascii="Arial" w:hAnsi="Arial" w:cs="Arial"/>
            <w:sz w:val="18"/>
            <w:szCs w:val="18"/>
          </w:rPr>
          <w:t>localplan@doncaster.gov.uk</w:t>
        </w:r>
      </w:hyperlink>
      <w:r w:rsidR="00BE2D86">
        <w:rPr>
          <w:rStyle w:val="Hyperlink"/>
          <w:rFonts w:ascii="Arial" w:hAnsi="Arial" w:cs="Arial"/>
          <w:sz w:val="18"/>
          <w:szCs w:val="18"/>
        </w:rPr>
        <w:t>.</w:t>
      </w:r>
      <w:r w:rsidRPr="00646356">
        <w:rPr>
          <w:rFonts w:ascii="Arial" w:hAnsi="Arial" w:cs="Arial"/>
        </w:rPr>
        <w:t xml:space="preserve"> </w:t>
      </w:r>
    </w:p>
  </w:footnote>
  <w:footnote w:id="20">
    <w:p w14:paraId="002C45C6" w14:textId="77777777" w:rsidR="008C15CC" w:rsidRPr="00646356" w:rsidRDefault="008C15CC" w:rsidP="00BC59C8">
      <w:pPr>
        <w:pStyle w:val="FootnoteText"/>
        <w:rPr>
          <w:rFonts w:ascii="Arial" w:hAnsi="Arial" w:cs="Arial"/>
        </w:rPr>
      </w:pPr>
      <w:r w:rsidRPr="00646356">
        <w:rPr>
          <w:rStyle w:val="FootnoteReference"/>
          <w:rFonts w:ascii="Arial" w:hAnsi="Arial" w:cs="Arial"/>
          <w:sz w:val="18"/>
          <w:szCs w:val="18"/>
        </w:rPr>
        <w:footnoteRef/>
      </w:r>
      <w:r w:rsidRPr="00646356">
        <w:rPr>
          <w:rFonts w:ascii="Arial" w:hAnsi="Arial" w:cs="Arial"/>
          <w:sz w:val="18"/>
          <w:szCs w:val="18"/>
        </w:rPr>
        <w:t xml:space="preserve"> 335,000 tonnes – Johnson Field; 1,550,000 tonnes – Land at Grange Farm</w:t>
      </w:r>
    </w:p>
  </w:footnote>
  <w:footnote w:id="21">
    <w:p w14:paraId="704CFEDC" w14:textId="330EF8C3" w:rsidR="008C15CC" w:rsidRDefault="008C15CC" w:rsidP="000E0EC9">
      <w:pPr>
        <w:pStyle w:val="FootnoteText"/>
      </w:pPr>
      <w:r w:rsidRPr="00646356">
        <w:rPr>
          <w:rStyle w:val="FootnoteReference"/>
          <w:rFonts w:ascii="Arial" w:hAnsi="Arial" w:cs="Arial"/>
        </w:rPr>
        <w:footnoteRef/>
      </w:r>
      <w:r w:rsidR="00BE2D86">
        <w:rPr>
          <w:rFonts w:ascii="Arial" w:hAnsi="Arial" w:cs="Arial"/>
        </w:rPr>
        <w:t>I</w:t>
      </w:r>
      <w:r w:rsidRPr="00646356">
        <w:rPr>
          <w:rFonts w:ascii="Arial" w:hAnsi="Arial" w:cs="Arial"/>
          <w:sz w:val="18"/>
          <w:szCs w:val="18"/>
        </w:rPr>
        <w:t>dentified using BGS data and mineral assessment reports</w:t>
      </w:r>
    </w:p>
  </w:footnote>
  <w:footnote w:id="22">
    <w:p w14:paraId="128839D3" w14:textId="25AB7FDB" w:rsidR="00574CC4" w:rsidRDefault="00574CC4">
      <w:pPr>
        <w:pStyle w:val="FootnoteText"/>
      </w:pPr>
      <w:r>
        <w:rPr>
          <w:rStyle w:val="FootnoteReference"/>
        </w:rPr>
        <w:footnoteRef/>
      </w:r>
      <w:r>
        <w:t xml:space="preserve"> Doncaster Local Plan Table 15.</w:t>
      </w:r>
    </w:p>
  </w:footnote>
  <w:footnote w:id="23">
    <w:p w14:paraId="0AA7492B" w14:textId="77777777" w:rsidR="00793D69" w:rsidRDefault="00793D69" w:rsidP="00793D69">
      <w:pPr>
        <w:pStyle w:val="FootnoteText"/>
      </w:pPr>
      <w:r>
        <w:rPr>
          <w:rStyle w:val="FootnoteReference"/>
        </w:rPr>
        <w:footnoteRef/>
      </w:r>
      <w:r>
        <w:t xml:space="preserve"> The MPA believe the amount of aggregate used in house building is nearer 200 tonnes per unit. </w:t>
      </w:r>
    </w:p>
  </w:footnote>
  <w:footnote w:id="24">
    <w:p w14:paraId="4EAEBBB4" w14:textId="77777777" w:rsidR="00793D69" w:rsidRDefault="00793D69" w:rsidP="00793D69">
      <w:pPr>
        <w:pStyle w:val="FootnoteText"/>
      </w:pPr>
      <w:r>
        <w:rPr>
          <w:rStyle w:val="FootnoteReference"/>
        </w:rPr>
        <w:footnoteRef/>
      </w:r>
      <w:r>
        <w:t xml:space="preserve"> </w:t>
      </w:r>
      <w:r w:rsidRPr="00AE6C47">
        <w:t>SYMCA-</w:t>
      </w:r>
      <w:proofErr w:type="spellStart"/>
      <w:r w:rsidRPr="00AE6C47">
        <w:t>SoCG</w:t>
      </w:r>
      <w:proofErr w:type="spellEnd"/>
      <w:r w:rsidRPr="00AE6C47">
        <w:t xml:space="preserve"> (Annex 1, Table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0F79" w14:textId="77777777" w:rsidR="008C15CC" w:rsidRDefault="008C15CC">
    <w:pPr>
      <w:pStyle w:val="Header"/>
      <w:ind w:right="-864"/>
      <w:jc w:val="right"/>
    </w:pPr>
  </w:p>
  <w:p w14:paraId="4CD63C4B" w14:textId="77777777" w:rsidR="008C15CC" w:rsidRDefault="008C1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0A9D"/>
    <w:multiLevelType w:val="hybridMultilevel"/>
    <w:tmpl w:val="EE3AEC8A"/>
    <w:lvl w:ilvl="0" w:tplc="AFF27E9E">
      <w:start w:val="1"/>
      <w:numFmt w:val="decimal"/>
      <w:lvlText w:val="%1."/>
      <w:lvlJc w:val="left"/>
      <w:pPr>
        <w:ind w:left="680" w:hanging="396"/>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F3F18"/>
    <w:multiLevelType w:val="hybridMultilevel"/>
    <w:tmpl w:val="62501398"/>
    <w:lvl w:ilvl="0" w:tplc="163074EE">
      <w:start w:val="1"/>
      <w:numFmt w:val="decimal"/>
      <w:lvlText w:val="%1."/>
      <w:lvlJc w:val="left"/>
      <w:pPr>
        <w:ind w:left="652" w:hanging="368"/>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A0EF3"/>
    <w:multiLevelType w:val="hybridMultilevel"/>
    <w:tmpl w:val="D9B0ED0A"/>
    <w:lvl w:ilvl="0" w:tplc="AFF27E9E">
      <w:start w:val="1"/>
      <w:numFmt w:val="decimal"/>
      <w:lvlText w:val="%1."/>
      <w:lvlJc w:val="left"/>
      <w:pPr>
        <w:tabs>
          <w:tab w:val="num" w:pos="720"/>
        </w:tabs>
        <w:ind w:left="720" w:hanging="360"/>
      </w:pPr>
      <w:rPr>
        <w:rFonts w:ascii="Arial" w:hAnsi="Arial" w:cs="Arial" w:hint="default"/>
        <w:b w:val="0"/>
        <w:strike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33BEF"/>
    <w:multiLevelType w:val="hybridMultilevel"/>
    <w:tmpl w:val="E4DE9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1047E"/>
    <w:multiLevelType w:val="hybridMultilevel"/>
    <w:tmpl w:val="1188F3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2602178"/>
    <w:multiLevelType w:val="hybridMultilevel"/>
    <w:tmpl w:val="EE3AEC8A"/>
    <w:lvl w:ilvl="0" w:tplc="AFF27E9E">
      <w:start w:val="1"/>
      <w:numFmt w:val="decimal"/>
      <w:lvlText w:val="%1."/>
      <w:lvlJc w:val="left"/>
      <w:pPr>
        <w:ind w:left="680" w:hanging="396"/>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4097F"/>
    <w:multiLevelType w:val="hybridMultilevel"/>
    <w:tmpl w:val="8708B57C"/>
    <w:lvl w:ilvl="0" w:tplc="AFF27E9E">
      <w:start w:val="1"/>
      <w:numFmt w:val="decimal"/>
      <w:lvlText w:val="%1."/>
      <w:lvlJc w:val="left"/>
      <w:pPr>
        <w:ind w:left="396" w:hanging="396"/>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B11A1"/>
    <w:multiLevelType w:val="hybridMultilevel"/>
    <w:tmpl w:val="039E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85C78"/>
    <w:multiLevelType w:val="hybridMultilevel"/>
    <w:tmpl w:val="81EE0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AF1798"/>
    <w:multiLevelType w:val="hybridMultilevel"/>
    <w:tmpl w:val="8708B57C"/>
    <w:lvl w:ilvl="0" w:tplc="AFF27E9E">
      <w:start w:val="1"/>
      <w:numFmt w:val="decimal"/>
      <w:lvlText w:val="%1."/>
      <w:lvlJc w:val="left"/>
      <w:pPr>
        <w:ind w:left="396" w:hanging="396"/>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FF70D3"/>
    <w:multiLevelType w:val="hybridMultilevel"/>
    <w:tmpl w:val="A118B054"/>
    <w:lvl w:ilvl="0" w:tplc="1DB894F8">
      <w:start w:val="1"/>
      <w:numFmt w:val="decimal"/>
      <w:pStyle w:val="Bodytext1"/>
      <w:lvlText w:val="%1."/>
      <w:lvlJc w:val="left"/>
      <w:pPr>
        <w:ind w:left="720" w:hanging="360"/>
      </w:pPr>
      <w:rPr>
        <w:b w:val="0"/>
        <w:i w:val="0"/>
        <w:iCs/>
        <w:color w:val="000000" w:themeColor="text1"/>
        <w:sz w:val="21"/>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A1C0E"/>
    <w:multiLevelType w:val="hybridMultilevel"/>
    <w:tmpl w:val="EE3AEC8A"/>
    <w:lvl w:ilvl="0" w:tplc="AFF27E9E">
      <w:start w:val="1"/>
      <w:numFmt w:val="decimal"/>
      <w:lvlText w:val="%1."/>
      <w:lvlJc w:val="left"/>
      <w:pPr>
        <w:ind w:left="680" w:hanging="396"/>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42DEC"/>
    <w:multiLevelType w:val="hybridMultilevel"/>
    <w:tmpl w:val="2D7AE6EA"/>
    <w:lvl w:ilvl="0" w:tplc="AFF27E9E">
      <w:start w:val="1"/>
      <w:numFmt w:val="decimal"/>
      <w:lvlText w:val="%1."/>
      <w:lvlJc w:val="left"/>
      <w:pPr>
        <w:ind w:left="396" w:hanging="396"/>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867098"/>
    <w:multiLevelType w:val="hybridMultilevel"/>
    <w:tmpl w:val="B35E8D7C"/>
    <w:lvl w:ilvl="0" w:tplc="B3E86344">
      <w:start w:val="1"/>
      <w:numFmt w:val="bullet"/>
      <w:lvlText w:val=""/>
      <w:lvlJc w:val="left"/>
      <w:pPr>
        <w:tabs>
          <w:tab w:val="num" w:pos="1199"/>
        </w:tabs>
        <w:ind w:left="1199" w:hanging="360"/>
      </w:pPr>
      <w:rPr>
        <w:rFonts w:ascii="Symbol" w:hAnsi="Symbol" w:hint="default"/>
        <w:color w:val="800000"/>
        <w:sz w:val="16"/>
        <w:szCs w:val="16"/>
      </w:rPr>
    </w:lvl>
    <w:lvl w:ilvl="1" w:tplc="08090003">
      <w:start w:val="1"/>
      <w:numFmt w:val="bullet"/>
      <w:lvlText w:val="o"/>
      <w:lvlJc w:val="left"/>
      <w:pPr>
        <w:ind w:left="306" w:hanging="360"/>
      </w:pPr>
      <w:rPr>
        <w:rFonts w:ascii="Courier New" w:hAnsi="Courier New" w:cs="Courier New"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14" w15:restartNumberingAfterBreak="0">
    <w:nsid w:val="22CB7BCC"/>
    <w:multiLevelType w:val="hybridMultilevel"/>
    <w:tmpl w:val="363CF478"/>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4C251AA"/>
    <w:multiLevelType w:val="hybridMultilevel"/>
    <w:tmpl w:val="587E359C"/>
    <w:lvl w:ilvl="0" w:tplc="08090001">
      <w:start w:val="1"/>
      <w:numFmt w:val="bullet"/>
      <w:lvlText w:val=""/>
      <w:lvlJc w:val="left"/>
      <w:pPr>
        <w:tabs>
          <w:tab w:val="num" w:pos="720"/>
        </w:tabs>
        <w:ind w:left="720" w:hanging="360"/>
      </w:pPr>
      <w:rPr>
        <w:rFonts w:ascii="Symbol" w:hAnsi="Symbol" w:hint="default"/>
        <w:b w:val="0"/>
        <w:strike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47934"/>
    <w:multiLevelType w:val="multilevel"/>
    <w:tmpl w:val="31141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32D0A"/>
    <w:multiLevelType w:val="hybridMultilevel"/>
    <w:tmpl w:val="486CE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6AD42E9"/>
    <w:multiLevelType w:val="hybridMultilevel"/>
    <w:tmpl w:val="342CE0F0"/>
    <w:lvl w:ilvl="0" w:tplc="FFFFFFFF">
      <w:start w:val="1"/>
      <w:numFmt w:val="decimal"/>
      <w:lvlText w:val="%1."/>
      <w:lvlJc w:val="left"/>
      <w:pPr>
        <w:ind w:left="396" w:hanging="396"/>
      </w:pPr>
      <w:rPr>
        <w:rFonts w:ascii="Arial" w:hAnsi="Arial" w:cs="Arial" w:hint="default"/>
        <w:b w:val="0"/>
        <w:strike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DC5E95"/>
    <w:multiLevelType w:val="hybridMultilevel"/>
    <w:tmpl w:val="EE3AEC8A"/>
    <w:lvl w:ilvl="0" w:tplc="AFF27E9E">
      <w:start w:val="1"/>
      <w:numFmt w:val="decimal"/>
      <w:lvlText w:val="%1."/>
      <w:lvlJc w:val="left"/>
      <w:pPr>
        <w:ind w:left="680" w:hanging="396"/>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CD0616"/>
    <w:multiLevelType w:val="hybridMultilevel"/>
    <w:tmpl w:val="8CBECABC"/>
    <w:lvl w:ilvl="0" w:tplc="AFF27E9E">
      <w:start w:val="1"/>
      <w:numFmt w:val="decimal"/>
      <w:lvlText w:val="%1."/>
      <w:lvlJc w:val="left"/>
      <w:pPr>
        <w:ind w:left="680" w:hanging="396"/>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8807A0"/>
    <w:multiLevelType w:val="hybridMultilevel"/>
    <w:tmpl w:val="EE3AEC8A"/>
    <w:lvl w:ilvl="0" w:tplc="AFF27E9E">
      <w:start w:val="1"/>
      <w:numFmt w:val="decimal"/>
      <w:lvlText w:val="%1."/>
      <w:lvlJc w:val="left"/>
      <w:pPr>
        <w:ind w:left="680" w:hanging="396"/>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DB79DF"/>
    <w:multiLevelType w:val="hybridMultilevel"/>
    <w:tmpl w:val="86526CA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3" w15:restartNumberingAfterBreak="0">
    <w:nsid w:val="469325D0"/>
    <w:multiLevelType w:val="hybridMultilevel"/>
    <w:tmpl w:val="8CBECABC"/>
    <w:lvl w:ilvl="0" w:tplc="AFF27E9E">
      <w:start w:val="1"/>
      <w:numFmt w:val="decimal"/>
      <w:lvlText w:val="%1."/>
      <w:lvlJc w:val="left"/>
      <w:pPr>
        <w:ind w:left="680" w:hanging="396"/>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2A6ABB"/>
    <w:multiLevelType w:val="hybridMultilevel"/>
    <w:tmpl w:val="8708B57C"/>
    <w:lvl w:ilvl="0" w:tplc="AFF27E9E">
      <w:start w:val="1"/>
      <w:numFmt w:val="decimal"/>
      <w:lvlText w:val="%1."/>
      <w:lvlJc w:val="left"/>
      <w:pPr>
        <w:ind w:left="396" w:hanging="396"/>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A85566"/>
    <w:multiLevelType w:val="hybridMultilevel"/>
    <w:tmpl w:val="EE3AEC8A"/>
    <w:lvl w:ilvl="0" w:tplc="AFF27E9E">
      <w:start w:val="1"/>
      <w:numFmt w:val="decimal"/>
      <w:lvlText w:val="%1."/>
      <w:lvlJc w:val="left"/>
      <w:pPr>
        <w:ind w:left="680" w:hanging="396"/>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1074F9"/>
    <w:multiLevelType w:val="hybridMultilevel"/>
    <w:tmpl w:val="8F6E0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4B0D91"/>
    <w:multiLevelType w:val="multilevel"/>
    <w:tmpl w:val="40DE074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597F2993"/>
    <w:multiLevelType w:val="hybridMultilevel"/>
    <w:tmpl w:val="8CBECABC"/>
    <w:lvl w:ilvl="0" w:tplc="AFF27E9E">
      <w:start w:val="1"/>
      <w:numFmt w:val="decimal"/>
      <w:lvlText w:val="%1."/>
      <w:lvlJc w:val="left"/>
      <w:pPr>
        <w:ind w:left="680" w:hanging="396"/>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E81C49"/>
    <w:multiLevelType w:val="hybridMultilevel"/>
    <w:tmpl w:val="C374BC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CC932A2"/>
    <w:multiLevelType w:val="hybridMultilevel"/>
    <w:tmpl w:val="EE3AEC8A"/>
    <w:lvl w:ilvl="0" w:tplc="AFF27E9E">
      <w:start w:val="1"/>
      <w:numFmt w:val="decimal"/>
      <w:lvlText w:val="%1."/>
      <w:lvlJc w:val="left"/>
      <w:pPr>
        <w:ind w:left="680" w:hanging="396"/>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D8649F"/>
    <w:multiLevelType w:val="hybridMultilevel"/>
    <w:tmpl w:val="EE3AEC8A"/>
    <w:lvl w:ilvl="0" w:tplc="AFF27E9E">
      <w:start w:val="1"/>
      <w:numFmt w:val="decimal"/>
      <w:lvlText w:val="%1."/>
      <w:lvlJc w:val="left"/>
      <w:pPr>
        <w:ind w:left="680" w:hanging="396"/>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4D4CEF"/>
    <w:multiLevelType w:val="hybridMultilevel"/>
    <w:tmpl w:val="571C6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EE75C1B"/>
    <w:multiLevelType w:val="hybridMultilevel"/>
    <w:tmpl w:val="0F44E17C"/>
    <w:lvl w:ilvl="0" w:tplc="EE76DA24">
      <w:start w:val="1"/>
      <w:numFmt w:val="bullet"/>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34" w15:restartNumberingAfterBreak="0">
    <w:nsid w:val="6F223F85"/>
    <w:multiLevelType w:val="hybridMultilevel"/>
    <w:tmpl w:val="0D66757E"/>
    <w:lvl w:ilvl="0" w:tplc="08090001">
      <w:start w:val="1"/>
      <w:numFmt w:val="bullet"/>
      <w:lvlText w:val=""/>
      <w:lvlJc w:val="left"/>
      <w:pPr>
        <w:tabs>
          <w:tab w:val="num" w:pos="720"/>
        </w:tabs>
        <w:ind w:left="720" w:hanging="360"/>
      </w:pPr>
      <w:rPr>
        <w:rFonts w:ascii="Symbol" w:hAnsi="Symbol" w:hint="default"/>
        <w:b w:val="0"/>
        <w:strike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ED79A7"/>
    <w:multiLevelType w:val="hybridMultilevel"/>
    <w:tmpl w:val="EE3AEC8A"/>
    <w:lvl w:ilvl="0" w:tplc="AFF27E9E">
      <w:start w:val="1"/>
      <w:numFmt w:val="decimal"/>
      <w:lvlText w:val="%1."/>
      <w:lvlJc w:val="left"/>
      <w:pPr>
        <w:ind w:left="680" w:hanging="396"/>
      </w:pPr>
      <w:rPr>
        <w:rFonts w:ascii="Arial" w:hAnsi="Arial" w:cs="Arial" w:hint="default"/>
        <w:b w:val="0"/>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5B09B6"/>
    <w:multiLevelType w:val="hybridMultilevel"/>
    <w:tmpl w:val="2794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387084">
    <w:abstractNumId w:val="3"/>
  </w:num>
  <w:num w:numId="2" w16cid:durableId="1464695630">
    <w:abstractNumId w:val="2"/>
  </w:num>
  <w:num w:numId="3" w16cid:durableId="1476558152">
    <w:abstractNumId w:val="12"/>
  </w:num>
  <w:num w:numId="4" w16cid:durableId="348021145">
    <w:abstractNumId w:val="1"/>
  </w:num>
  <w:num w:numId="5" w16cid:durableId="885260382">
    <w:abstractNumId w:val="21"/>
  </w:num>
  <w:num w:numId="6" w16cid:durableId="1995841565">
    <w:abstractNumId w:val="0"/>
  </w:num>
  <w:num w:numId="7" w16cid:durableId="170030129">
    <w:abstractNumId w:val="5"/>
  </w:num>
  <w:num w:numId="8" w16cid:durableId="1681351125">
    <w:abstractNumId w:val="19"/>
  </w:num>
  <w:num w:numId="9" w16cid:durableId="1229610974">
    <w:abstractNumId w:val="11"/>
  </w:num>
  <w:num w:numId="10" w16cid:durableId="1666787574">
    <w:abstractNumId w:val="25"/>
  </w:num>
  <w:num w:numId="11" w16cid:durableId="1107695988">
    <w:abstractNumId w:val="13"/>
  </w:num>
  <w:num w:numId="12" w16cid:durableId="1524395345">
    <w:abstractNumId w:val="29"/>
  </w:num>
  <w:num w:numId="13" w16cid:durableId="1959024859">
    <w:abstractNumId w:val="4"/>
  </w:num>
  <w:num w:numId="14" w16cid:durableId="1410804446">
    <w:abstractNumId w:val="14"/>
    <w:lvlOverride w:ilvl="0">
      <w:startOverride w:val="1"/>
    </w:lvlOverride>
    <w:lvlOverride w:ilvl="1"/>
    <w:lvlOverride w:ilvl="2"/>
    <w:lvlOverride w:ilvl="3"/>
    <w:lvlOverride w:ilvl="4"/>
    <w:lvlOverride w:ilvl="5"/>
    <w:lvlOverride w:ilvl="6"/>
    <w:lvlOverride w:ilvl="7"/>
    <w:lvlOverride w:ilvl="8"/>
  </w:num>
  <w:num w:numId="15" w16cid:durableId="55201585">
    <w:abstractNumId w:val="35"/>
  </w:num>
  <w:num w:numId="16" w16cid:durableId="545334382">
    <w:abstractNumId w:val="31"/>
  </w:num>
  <w:num w:numId="17" w16cid:durableId="1729452332">
    <w:abstractNumId w:val="30"/>
  </w:num>
  <w:num w:numId="18" w16cid:durableId="603733875">
    <w:abstractNumId w:val="23"/>
  </w:num>
  <w:num w:numId="19" w16cid:durableId="818229712">
    <w:abstractNumId w:val="28"/>
  </w:num>
  <w:num w:numId="20" w16cid:durableId="1157845403">
    <w:abstractNumId w:val="20"/>
  </w:num>
  <w:num w:numId="21" w16cid:durableId="1873961413">
    <w:abstractNumId w:val="36"/>
  </w:num>
  <w:num w:numId="22" w16cid:durableId="1966810833">
    <w:abstractNumId w:val="17"/>
  </w:num>
  <w:num w:numId="23" w16cid:durableId="471750106">
    <w:abstractNumId w:val="6"/>
  </w:num>
  <w:num w:numId="24" w16cid:durableId="521164839">
    <w:abstractNumId w:val="9"/>
  </w:num>
  <w:num w:numId="25" w16cid:durableId="1364479391">
    <w:abstractNumId w:val="24"/>
  </w:num>
  <w:num w:numId="26" w16cid:durableId="581641740">
    <w:abstractNumId w:val="16"/>
  </w:num>
  <w:num w:numId="27" w16cid:durableId="952400848">
    <w:abstractNumId w:val="32"/>
  </w:num>
  <w:num w:numId="28" w16cid:durableId="521285553">
    <w:abstractNumId w:val="27"/>
  </w:num>
  <w:num w:numId="29" w16cid:durableId="1439793056">
    <w:abstractNumId w:val="10"/>
  </w:num>
  <w:num w:numId="30" w16cid:durableId="86385685">
    <w:abstractNumId w:val="33"/>
  </w:num>
  <w:num w:numId="31" w16cid:durableId="356472371">
    <w:abstractNumId w:val="15"/>
  </w:num>
  <w:num w:numId="32" w16cid:durableId="1622033366">
    <w:abstractNumId w:val="34"/>
  </w:num>
  <w:num w:numId="33" w16cid:durableId="2047246116">
    <w:abstractNumId w:val="8"/>
  </w:num>
  <w:num w:numId="34" w16cid:durableId="2076933075">
    <w:abstractNumId w:val="22"/>
  </w:num>
  <w:num w:numId="35" w16cid:durableId="1982345115">
    <w:abstractNumId w:val="7"/>
  </w:num>
  <w:num w:numId="36" w16cid:durableId="658534434">
    <w:abstractNumId w:val="18"/>
  </w:num>
  <w:num w:numId="37" w16cid:durableId="9040259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952"/>
    <w:rsid w:val="000028F8"/>
    <w:rsid w:val="00003786"/>
    <w:rsid w:val="00004BC7"/>
    <w:rsid w:val="00004D7F"/>
    <w:rsid w:val="00005754"/>
    <w:rsid w:val="0000761F"/>
    <w:rsid w:val="00014E32"/>
    <w:rsid w:val="00016C16"/>
    <w:rsid w:val="0001743F"/>
    <w:rsid w:val="00020A64"/>
    <w:rsid w:val="00020CD9"/>
    <w:rsid w:val="00020FE3"/>
    <w:rsid w:val="00023091"/>
    <w:rsid w:val="000244E0"/>
    <w:rsid w:val="0002472A"/>
    <w:rsid w:val="00027687"/>
    <w:rsid w:val="00030378"/>
    <w:rsid w:val="00030F0D"/>
    <w:rsid w:val="00033674"/>
    <w:rsid w:val="00037338"/>
    <w:rsid w:val="000377E8"/>
    <w:rsid w:val="00037E80"/>
    <w:rsid w:val="000402B6"/>
    <w:rsid w:val="00043AD8"/>
    <w:rsid w:val="00047313"/>
    <w:rsid w:val="00047861"/>
    <w:rsid w:val="00051B30"/>
    <w:rsid w:val="00051E60"/>
    <w:rsid w:val="00055CAF"/>
    <w:rsid w:val="00055DD9"/>
    <w:rsid w:val="00056838"/>
    <w:rsid w:val="00057658"/>
    <w:rsid w:val="00061520"/>
    <w:rsid w:val="00063095"/>
    <w:rsid w:val="000639B6"/>
    <w:rsid w:val="00063DBD"/>
    <w:rsid w:val="00064277"/>
    <w:rsid w:val="00065028"/>
    <w:rsid w:val="000658F6"/>
    <w:rsid w:val="00066B7C"/>
    <w:rsid w:val="00066C8F"/>
    <w:rsid w:val="000716B8"/>
    <w:rsid w:val="000721AB"/>
    <w:rsid w:val="00073120"/>
    <w:rsid w:val="00073574"/>
    <w:rsid w:val="0007362C"/>
    <w:rsid w:val="000738F8"/>
    <w:rsid w:val="000752CD"/>
    <w:rsid w:val="000828CC"/>
    <w:rsid w:val="00083191"/>
    <w:rsid w:val="00083DCB"/>
    <w:rsid w:val="00083E73"/>
    <w:rsid w:val="000867B8"/>
    <w:rsid w:val="00090054"/>
    <w:rsid w:val="00092E78"/>
    <w:rsid w:val="0009323D"/>
    <w:rsid w:val="000951D4"/>
    <w:rsid w:val="000956BD"/>
    <w:rsid w:val="000957E6"/>
    <w:rsid w:val="00096C9B"/>
    <w:rsid w:val="000A02F2"/>
    <w:rsid w:val="000A148E"/>
    <w:rsid w:val="000A1773"/>
    <w:rsid w:val="000A2999"/>
    <w:rsid w:val="000A4062"/>
    <w:rsid w:val="000A6367"/>
    <w:rsid w:val="000A67C8"/>
    <w:rsid w:val="000B4E7C"/>
    <w:rsid w:val="000B73A5"/>
    <w:rsid w:val="000C01D0"/>
    <w:rsid w:val="000C37BD"/>
    <w:rsid w:val="000C4518"/>
    <w:rsid w:val="000C673B"/>
    <w:rsid w:val="000D11C6"/>
    <w:rsid w:val="000D14B6"/>
    <w:rsid w:val="000D2BE7"/>
    <w:rsid w:val="000D520E"/>
    <w:rsid w:val="000D60E1"/>
    <w:rsid w:val="000E0EC9"/>
    <w:rsid w:val="000E192D"/>
    <w:rsid w:val="000E2F50"/>
    <w:rsid w:val="000E3375"/>
    <w:rsid w:val="000E36AD"/>
    <w:rsid w:val="000E65B0"/>
    <w:rsid w:val="000E6646"/>
    <w:rsid w:val="000E6F13"/>
    <w:rsid w:val="000F14AA"/>
    <w:rsid w:val="000F1A85"/>
    <w:rsid w:val="000F1C57"/>
    <w:rsid w:val="000F20BC"/>
    <w:rsid w:val="000F7AA2"/>
    <w:rsid w:val="0010005A"/>
    <w:rsid w:val="0010048B"/>
    <w:rsid w:val="0010077D"/>
    <w:rsid w:val="00102C18"/>
    <w:rsid w:val="001032F1"/>
    <w:rsid w:val="00104D57"/>
    <w:rsid w:val="00105DC0"/>
    <w:rsid w:val="00106019"/>
    <w:rsid w:val="001071E5"/>
    <w:rsid w:val="00107841"/>
    <w:rsid w:val="001110A6"/>
    <w:rsid w:val="00111A52"/>
    <w:rsid w:val="00114BAC"/>
    <w:rsid w:val="00115C88"/>
    <w:rsid w:val="001161AB"/>
    <w:rsid w:val="00120C6B"/>
    <w:rsid w:val="00124807"/>
    <w:rsid w:val="001261A4"/>
    <w:rsid w:val="001314BE"/>
    <w:rsid w:val="00131B30"/>
    <w:rsid w:val="00131EAB"/>
    <w:rsid w:val="00134B86"/>
    <w:rsid w:val="001351A7"/>
    <w:rsid w:val="00135F98"/>
    <w:rsid w:val="001364EC"/>
    <w:rsid w:val="00136529"/>
    <w:rsid w:val="001413B2"/>
    <w:rsid w:val="00142398"/>
    <w:rsid w:val="00142836"/>
    <w:rsid w:val="001441EB"/>
    <w:rsid w:val="00144ACA"/>
    <w:rsid w:val="00145C58"/>
    <w:rsid w:val="0014626B"/>
    <w:rsid w:val="0014629D"/>
    <w:rsid w:val="0015127B"/>
    <w:rsid w:val="001518BF"/>
    <w:rsid w:val="00151B08"/>
    <w:rsid w:val="00153045"/>
    <w:rsid w:val="0015411D"/>
    <w:rsid w:val="001556C8"/>
    <w:rsid w:val="001559E1"/>
    <w:rsid w:val="00155C9A"/>
    <w:rsid w:val="00155F04"/>
    <w:rsid w:val="00156853"/>
    <w:rsid w:val="00157164"/>
    <w:rsid w:val="0015781F"/>
    <w:rsid w:val="00157F49"/>
    <w:rsid w:val="00163CB6"/>
    <w:rsid w:val="00163CBB"/>
    <w:rsid w:val="00167253"/>
    <w:rsid w:val="00171356"/>
    <w:rsid w:val="00175412"/>
    <w:rsid w:val="001814A9"/>
    <w:rsid w:val="00181CDD"/>
    <w:rsid w:val="00182810"/>
    <w:rsid w:val="001841D4"/>
    <w:rsid w:val="0018601D"/>
    <w:rsid w:val="0018668B"/>
    <w:rsid w:val="0019011B"/>
    <w:rsid w:val="001906B0"/>
    <w:rsid w:val="001915A8"/>
    <w:rsid w:val="00191F4C"/>
    <w:rsid w:val="00192F6F"/>
    <w:rsid w:val="0019345F"/>
    <w:rsid w:val="00193FDC"/>
    <w:rsid w:val="0019410D"/>
    <w:rsid w:val="0019507B"/>
    <w:rsid w:val="001A23DB"/>
    <w:rsid w:val="001A2605"/>
    <w:rsid w:val="001A279F"/>
    <w:rsid w:val="001A2FD8"/>
    <w:rsid w:val="001A70EB"/>
    <w:rsid w:val="001B080B"/>
    <w:rsid w:val="001B2439"/>
    <w:rsid w:val="001B2A4A"/>
    <w:rsid w:val="001B4F20"/>
    <w:rsid w:val="001B6359"/>
    <w:rsid w:val="001B75CD"/>
    <w:rsid w:val="001C11BD"/>
    <w:rsid w:val="001C1AF4"/>
    <w:rsid w:val="001C2DF2"/>
    <w:rsid w:val="001C2F0B"/>
    <w:rsid w:val="001C3C9E"/>
    <w:rsid w:val="001D3C78"/>
    <w:rsid w:val="001D4DB8"/>
    <w:rsid w:val="001D515E"/>
    <w:rsid w:val="001D54AF"/>
    <w:rsid w:val="001D7F56"/>
    <w:rsid w:val="001E07C9"/>
    <w:rsid w:val="001E5348"/>
    <w:rsid w:val="001E787F"/>
    <w:rsid w:val="001E7ACA"/>
    <w:rsid w:val="001F1DDD"/>
    <w:rsid w:val="001F33AF"/>
    <w:rsid w:val="001F3972"/>
    <w:rsid w:val="001F42D7"/>
    <w:rsid w:val="001F4F72"/>
    <w:rsid w:val="001F5676"/>
    <w:rsid w:val="001F5EDC"/>
    <w:rsid w:val="002034F5"/>
    <w:rsid w:val="0021453A"/>
    <w:rsid w:val="0021489D"/>
    <w:rsid w:val="00216495"/>
    <w:rsid w:val="00221628"/>
    <w:rsid w:val="002216AF"/>
    <w:rsid w:val="00222BC3"/>
    <w:rsid w:val="00222E21"/>
    <w:rsid w:val="002230DE"/>
    <w:rsid w:val="00223DFC"/>
    <w:rsid w:val="0022478F"/>
    <w:rsid w:val="00225790"/>
    <w:rsid w:val="002268D9"/>
    <w:rsid w:val="00226F4F"/>
    <w:rsid w:val="00230238"/>
    <w:rsid w:val="002318CC"/>
    <w:rsid w:val="002375D1"/>
    <w:rsid w:val="00240478"/>
    <w:rsid w:val="0024047A"/>
    <w:rsid w:val="0024092D"/>
    <w:rsid w:val="00241306"/>
    <w:rsid w:val="0024198A"/>
    <w:rsid w:val="00244655"/>
    <w:rsid w:val="00251521"/>
    <w:rsid w:val="002532CE"/>
    <w:rsid w:val="002532F5"/>
    <w:rsid w:val="00253DC9"/>
    <w:rsid w:val="00254AAF"/>
    <w:rsid w:val="00254CA9"/>
    <w:rsid w:val="002577C5"/>
    <w:rsid w:val="00260FA2"/>
    <w:rsid w:val="0026130B"/>
    <w:rsid w:val="00262E88"/>
    <w:rsid w:val="00262F46"/>
    <w:rsid w:val="00264F3B"/>
    <w:rsid w:val="00265A41"/>
    <w:rsid w:val="002670C1"/>
    <w:rsid w:val="0026794E"/>
    <w:rsid w:val="002720E3"/>
    <w:rsid w:val="00273A03"/>
    <w:rsid w:val="0027526D"/>
    <w:rsid w:val="00275DFD"/>
    <w:rsid w:val="00276486"/>
    <w:rsid w:val="00276C70"/>
    <w:rsid w:val="00281A8F"/>
    <w:rsid w:val="00281BCC"/>
    <w:rsid w:val="00282D80"/>
    <w:rsid w:val="002837B0"/>
    <w:rsid w:val="002840FA"/>
    <w:rsid w:val="00284787"/>
    <w:rsid w:val="00287129"/>
    <w:rsid w:val="002873E1"/>
    <w:rsid w:val="002875FE"/>
    <w:rsid w:val="00287BD0"/>
    <w:rsid w:val="00292497"/>
    <w:rsid w:val="002928AA"/>
    <w:rsid w:val="002933FB"/>
    <w:rsid w:val="0029444C"/>
    <w:rsid w:val="00294D72"/>
    <w:rsid w:val="002961E8"/>
    <w:rsid w:val="002967A2"/>
    <w:rsid w:val="00296D0E"/>
    <w:rsid w:val="0029750B"/>
    <w:rsid w:val="00297EB0"/>
    <w:rsid w:val="002A4EED"/>
    <w:rsid w:val="002A510D"/>
    <w:rsid w:val="002A726A"/>
    <w:rsid w:val="002B0548"/>
    <w:rsid w:val="002B6035"/>
    <w:rsid w:val="002B7E65"/>
    <w:rsid w:val="002C0B24"/>
    <w:rsid w:val="002C341E"/>
    <w:rsid w:val="002C382F"/>
    <w:rsid w:val="002C3952"/>
    <w:rsid w:val="002C5B5C"/>
    <w:rsid w:val="002C5E6E"/>
    <w:rsid w:val="002C7678"/>
    <w:rsid w:val="002E0046"/>
    <w:rsid w:val="002E1B08"/>
    <w:rsid w:val="002E3155"/>
    <w:rsid w:val="002E4308"/>
    <w:rsid w:val="002E5A0C"/>
    <w:rsid w:val="002F163B"/>
    <w:rsid w:val="002F2680"/>
    <w:rsid w:val="002F2D70"/>
    <w:rsid w:val="002F599C"/>
    <w:rsid w:val="00300416"/>
    <w:rsid w:val="0030164A"/>
    <w:rsid w:val="00302528"/>
    <w:rsid w:val="003025DF"/>
    <w:rsid w:val="00302BFF"/>
    <w:rsid w:val="003055B3"/>
    <w:rsid w:val="003060D6"/>
    <w:rsid w:val="00312E2B"/>
    <w:rsid w:val="00312E4A"/>
    <w:rsid w:val="0031305B"/>
    <w:rsid w:val="003131C5"/>
    <w:rsid w:val="00314076"/>
    <w:rsid w:val="00315242"/>
    <w:rsid w:val="003167D3"/>
    <w:rsid w:val="00316DD0"/>
    <w:rsid w:val="00320072"/>
    <w:rsid w:val="00320DAA"/>
    <w:rsid w:val="00322EF3"/>
    <w:rsid w:val="00324C4B"/>
    <w:rsid w:val="00325DE5"/>
    <w:rsid w:val="00330063"/>
    <w:rsid w:val="0033211D"/>
    <w:rsid w:val="00332C12"/>
    <w:rsid w:val="00334043"/>
    <w:rsid w:val="0033662E"/>
    <w:rsid w:val="00336B39"/>
    <w:rsid w:val="003375AD"/>
    <w:rsid w:val="0034031E"/>
    <w:rsid w:val="00341598"/>
    <w:rsid w:val="00341852"/>
    <w:rsid w:val="003438C7"/>
    <w:rsid w:val="00343B4A"/>
    <w:rsid w:val="0034414F"/>
    <w:rsid w:val="00345D08"/>
    <w:rsid w:val="0034640D"/>
    <w:rsid w:val="00346667"/>
    <w:rsid w:val="003507D4"/>
    <w:rsid w:val="00350C94"/>
    <w:rsid w:val="00353511"/>
    <w:rsid w:val="00356ED7"/>
    <w:rsid w:val="0036080E"/>
    <w:rsid w:val="00360FC1"/>
    <w:rsid w:val="00361F23"/>
    <w:rsid w:val="0036577E"/>
    <w:rsid w:val="00366424"/>
    <w:rsid w:val="00367001"/>
    <w:rsid w:val="0037160E"/>
    <w:rsid w:val="00372AA5"/>
    <w:rsid w:val="00372BD4"/>
    <w:rsid w:val="00372F14"/>
    <w:rsid w:val="00372FE7"/>
    <w:rsid w:val="003731B2"/>
    <w:rsid w:val="00375151"/>
    <w:rsid w:val="003800D6"/>
    <w:rsid w:val="00380CBC"/>
    <w:rsid w:val="0038441C"/>
    <w:rsid w:val="003859BE"/>
    <w:rsid w:val="00391D60"/>
    <w:rsid w:val="00391E43"/>
    <w:rsid w:val="00391ECE"/>
    <w:rsid w:val="00393C8D"/>
    <w:rsid w:val="00396724"/>
    <w:rsid w:val="00397884"/>
    <w:rsid w:val="003A3C10"/>
    <w:rsid w:val="003A4859"/>
    <w:rsid w:val="003A54A2"/>
    <w:rsid w:val="003A689F"/>
    <w:rsid w:val="003B00A4"/>
    <w:rsid w:val="003B0BA3"/>
    <w:rsid w:val="003B42CB"/>
    <w:rsid w:val="003B60EE"/>
    <w:rsid w:val="003B6877"/>
    <w:rsid w:val="003C0FD7"/>
    <w:rsid w:val="003C2650"/>
    <w:rsid w:val="003C461B"/>
    <w:rsid w:val="003C5496"/>
    <w:rsid w:val="003C597D"/>
    <w:rsid w:val="003C7AC2"/>
    <w:rsid w:val="003D0217"/>
    <w:rsid w:val="003D12F2"/>
    <w:rsid w:val="003D1C54"/>
    <w:rsid w:val="003D1FED"/>
    <w:rsid w:val="003D4C66"/>
    <w:rsid w:val="003D5481"/>
    <w:rsid w:val="003E2A55"/>
    <w:rsid w:val="003E33BD"/>
    <w:rsid w:val="003E515D"/>
    <w:rsid w:val="003E5DAF"/>
    <w:rsid w:val="003F04C8"/>
    <w:rsid w:val="003F3598"/>
    <w:rsid w:val="003F3843"/>
    <w:rsid w:val="003F4FC1"/>
    <w:rsid w:val="003F6973"/>
    <w:rsid w:val="003F7368"/>
    <w:rsid w:val="00400157"/>
    <w:rsid w:val="00400CEA"/>
    <w:rsid w:val="004027A2"/>
    <w:rsid w:val="00405B62"/>
    <w:rsid w:val="00405EA9"/>
    <w:rsid w:val="004065B7"/>
    <w:rsid w:val="00410ADB"/>
    <w:rsid w:val="00410C9C"/>
    <w:rsid w:val="004115B5"/>
    <w:rsid w:val="00411AB5"/>
    <w:rsid w:val="00411AEB"/>
    <w:rsid w:val="0041338E"/>
    <w:rsid w:val="00415B75"/>
    <w:rsid w:val="00416615"/>
    <w:rsid w:val="00420462"/>
    <w:rsid w:val="00421C88"/>
    <w:rsid w:val="00422097"/>
    <w:rsid w:val="0042266E"/>
    <w:rsid w:val="004226C4"/>
    <w:rsid w:val="00430678"/>
    <w:rsid w:val="0043075E"/>
    <w:rsid w:val="00430FD5"/>
    <w:rsid w:val="004317E0"/>
    <w:rsid w:val="00432D21"/>
    <w:rsid w:val="00432D8A"/>
    <w:rsid w:val="00433091"/>
    <w:rsid w:val="00434061"/>
    <w:rsid w:val="004350B9"/>
    <w:rsid w:val="0043601D"/>
    <w:rsid w:val="004379F0"/>
    <w:rsid w:val="00437DD2"/>
    <w:rsid w:val="00440669"/>
    <w:rsid w:val="00441195"/>
    <w:rsid w:val="00443145"/>
    <w:rsid w:val="0044425B"/>
    <w:rsid w:val="00444806"/>
    <w:rsid w:val="00446EDA"/>
    <w:rsid w:val="004470A0"/>
    <w:rsid w:val="0045269A"/>
    <w:rsid w:val="004532ED"/>
    <w:rsid w:val="00453CF8"/>
    <w:rsid w:val="00454E25"/>
    <w:rsid w:val="004606E7"/>
    <w:rsid w:val="00464108"/>
    <w:rsid w:val="0046444B"/>
    <w:rsid w:val="004647F3"/>
    <w:rsid w:val="00464822"/>
    <w:rsid w:val="004658C9"/>
    <w:rsid w:val="00465F49"/>
    <w:rsid w:val="00467C42"/>
    <w:rsid w:val="0047159E"/>
    <w:rsid w:val="00473D22"/>
    <w:rsid w:val="004741C6"/>
    <w:rsid w:val="004746E3"/>
    <w:rsid w:val="00474796"/>
    <w:rsid w:val="00475278"/>
    <w:rsid w:val="00480945"/>
    <w:rsid w:val="00481FA1"/>
    <w:rsid w:val="00486514"/>
    <w:rsid w:val="0048685A"/>
    <w:rsid w:val="00486F64"/>
    <w:rsid w:val="004875CA"/>
    <w:rsid w:val="00495169"/>
    <w:rsid w:val="004952A8"/>
    <w:rsid w:val="00495ACF"/>
    <w:rsid w:val="004A0866"/>
    <w:rsid w:val="004A3C3D"/>
    <w:rsid w:val="004A50E7"/>
    <w:rsid w:val="004A6E00"/>
    <w:rsid w:val="004A7F8F"/>
    <w:rsid w:val="004B07AE"/>
    <w:rsid w:val="004B29FE"/>
    <w:rsid w:val="004B3FB2"/>
    <w:rsid w:val="004C476C"/>
    <w:rsid w:val="004C4ABB"/>
    <w:rsid w:val="004C4B7E"/>
    <w:rsid w:val="004C52CE"/>
    <w:rsid w:val="004C5591"/>
    <w:rsid w:val="004C5A5F"/>
    <w:rsid w:val="004C6053"/>
    <w:rsid w:val="004C7ED8"/>
    <w:rsid w:val="004D0D5B"/>
    <w:rsid w:val="004D1C14"/>
    <w:rsid w:val="004D2505"/>
    <w:rsid w:val="004D3B29"/>
    <w:rsid w:val="004D3CD5"/>
    <w:rsid w:val="004E1DB6"/>
    <w:rsid w:val="004E20D9"/>
    <w:rsid w:val="004E2898"/>
    <w:rsid w:val="004E2F28"/>
    <w:rsid w:val="004E3DAA"/>
    <w:rsid w:val="004E4667"/>
    <w:rsid w:val="004E7DFD"/>
    <w:rsid w:val="004F0960"/>
    <w:rsid w:val="004F1498"/>
    <w:rsid w:val="004F16F0"/>
    <w:rsid w:val="004F1AE9"/>
    <w:rsid w:val="004F2750"/>
    <w:rsid w:val="004F45FA"/>
    <w:rsid w:val="004F6E4F"/>
    <w:rsid w:val="004F7564"/>
    <w:rsid w:val="005009E8"/>
    <w:rsid w:val="00501602"/>
    <w:rsid w:val="00503DD8"/>
    <w:rsid w:val="005050A9"/>
    <w:rsid w:val="005050AE"/>
    <w:rsid w:val="00506CD5"/>
    <w:rsid w:val="00506DC3"/>
    <w:rsid w:val="005076B1"/>
    <w:rsid w:val="0050772D"/>
    <w:rsid w:val="00511CB7"/>
    <w:rsid w:val="00520B0E"/>
    <w:rsid w:val="0052354E"/>
    <w:rsid w:val="00523DE7"/>
    <w:rsid w:val="005242CE"/>
    <w:rsid w:val="00525E39"/>
    <w:rsid w:val="00526207"/>
    <w:rsid w:val="00526F6E"/>
    <w:rsid w:val="00527129"/>
    <w:rsid w:val="00532247"/>
    <w:rsid w:val="00532DB6"/>
    <w:rsid w:val="00533F51"/>
    <w:rsid w:val="00534FE0"/>
    <w:rsid w:val="00535B80"/>
    <w:rsid w:val="00536352"/>
    <w:rsid w:val="00537936"/>
    <w:rsid w:val="00541248"/>
    <w:rsid w:val="00542666"/>
    <w:rsid w:val="00542DB1"/>
    <w:rsid w:val="005433A6"/>
    <w:rsid w:val="00543976"/>
    <w:rsid w:val="00543C90"/>
    <w:rsid w:val="00544BB8"/>
    <w:rsid w:val="0054561A"/>
    <w:rsid w:val="00546A08"/>
    <w:rsid w:val="00547E71"/>
    <w:rsid w:val="0055029D"/>
    <w:rsid w:val="00552357"/>
    <w:rsid w:val="00553CEE"/>
    <w:rsid w:val="00553F59"/>
    <w:rsid w:val="005559A5"/>
    <w:rsid w:val="00561B8B"/>
    <w:rsid w:val="00561EA3"/>
    <w:rsid w:val="00566850"/>
    <w:rsid w:val="00570015"/>
    <w:rsid w:val="00570699"/>
    <w:rsid w:val="00573303"/>
    <w:rsid w:val="0057390B"/>
    <w:rsid w:val="005744BE"/>
    <w:rsid w:val="00574A92"/>
    <w:rsid w:val="00574CC4"/>
    <w:rsid w:val="005753A2"/>
    <w:rsid w:val="0057558D"/>
    <w:rsid w:val="00576DA4"/>
    <w:rsid w:val="00577798"/>
    <w:rsid w:val="00580868"/>
    <w:rsid w:val="0058489E"/>
    <w:rsid w:val="005903F5"/>
    <w:rsid w:val="005931E2"/>
    <w:rsid w:val="005952D8"/>
    <w:rsid w:val="0059545A"/>
    <w:rsid w:val="005954B7"/>
    <w:rsid w:val="00597024"/>
    <w:rsid w:val="005979C6"/>
    <w:rsid w:val="005A0407"/>
    <w:rsid w:val="005A0AF9"/>
    <w:rsid w:val="005A3C09"/>
    <w:rsid w:val="005A3FF0"/>
    <w:rsid w:val="005B0782"/>
    <w:rsid w:val="005B1B84"/>
    <w:rsid w:val="005B210A"/>
    <w:rsid w:val="005B65B6"/>
    <w:rsid w:val="005B7525"/>
    <w:rsid w:val="005B7E58"/>
    <w:rsid w:val="005C069E"/>
    <w:rsid w:val="005C121A"/>
    <w:rsid w:val="005C22CB"/>
    <w:rsid w:val="005C4CAD"/>
    <w:rsid w:val="005C693B"/>
    <w:rsid w:val="005C7653"/>
    <w:rsid w:val="005D040D"/>
    <w:rsid w:val="005D0979"/>
    <w:rsid w:val="005D1BA6"/>
    <w:rsid w:val="005D44B7"/>
    <w:rsid w:val="005D4574"/>
    <w:rsid w:val="005D472E"/>
    <w:rsid w:val="005D5916"/>
    <w:rsid w:val="005D6D98"/>
    <w:rsid w:val="005E38EE"/>
    <w:rsid w:val="005E3952"/>
    <w:rsid w:val="005E55F6"/>
    <w:rsid w:val="005F3E83"/>
    <w:rsid w:val="005F414E"/>
    <w:rsid w:val="005F7228"/>
    <w:rsid w:val="005F7678"/>
    <w:rsid w:val="00601431"/>
    <w:rsid w:val="00606B6B"/>
    <w:rsid w:val="0060727E"/>
    <w:rsid w:val="00607C8E"/>
    <w:rsid w:val="00612438"/>
    <w:rsid w:val="0061265F"/>
    <w:rsid w:val="00615187"/>
    <w:rsid w:val="00616836"/>
    <w:rsid w:val="00616CCB"/>
    <w:rsid w:val="00621481"/>
    <w:rsid w:val="006215B4"/>
    <w:rsid w:val="00621635"/>
    <w:rsid w:val="00621ABF"/>
    <w:rsid w:val="00624739"/>
    <w:rsid w:val="006255CE"/>
    <w:rsid w:val="006258DB"/>
    <w:rsid w:val="00626070"/>
    <w:rsid w:val="006264E4"/>
    <w:rsid w:val="00626F8C"/>
    <w:rsid w:val="006277C1"/>
    <w:rsid w:val="00630907"/>
    <w:rsid w:val="00631DFE"/>
    <w:rsid w:val="00633D1A"/>
    <w:rsid w:val="00634C4F"/>
    <w:rsid w:val="0064062F"/>
    <w:rsid w:val="00640AC7"/>
    <w:rsid w:val="0064187C"/>
    <w:rsid w:val="00641969"/>
    <w:rsid w:val="00642C4D"/>
    <w:rsid w:val="006434CA"/>
    <w:rsid w:val="00645B98"/>
    <w:rsid w:val="00646356"/>
    <w:rsid w:val="00647892"/>
    <w:rsid w:val="00651ADC"/>
    <w:rsid w:val="00654D99"/>
    <w:rsid w:val="00661630"/>
    <w:rsid w:val="0066405B"/>
    <w:rsid w:val="006649C6"/>
    <w:rsid w:val="006654F6"/>
    <w:rsid w:val="006667AC"/>
    <w:rsid w:val="006672B7"/>
    <w:rsid w:val="0066759C"/>
    <w:rsid w:val="00667C22"/>
    <w:rsid w:val="00670237"/>
    <w:rsid w:val="006731A3"/>
    <w:rsid w:val="00675531"/>
    <w:rsid w:val="00681213"/>
    <w:rsid w:val="00681D76"/>
    <w:rsid w:val="0068666D"/>
    <w:rsid w:val="00687510"/>
    <w:rsid w:val="006902D3"/>
    <w:rsid w:val="0069094C"/>
    <w:rsid w:val="00693AF4"/>
    <w:rsid w:val="006940F4"/>
    <w:rsid w:val="00695606"/>
    <w:rsid w:val="0069707A"/>
    <w:rsid w:val="006A1B55"/>
    <w:rsid w:val="006A3F56"/>
    <w:rsid w:val="006A61BE"/>
    <w:rsid w:val="006B1735"/>
    <w:rsid w:val="006B2D2F"/>
    <w:rsid w:val="006B3E1C"/>
    <w:rsid w:val="006B5155"/>
    <w:rsid w:val="006C5365"/>
    <w:rsid w:val="006D0F66"/>
    <w:rsid w:val="006D19BC"/>
    <w:rsid w:val="006D35DA"/>
    <w:rsid w:val="006D4163"/>
    <w:rsid w:val="006D5766"/>
    <w:rsid w:val="006D6551"/>
    <w:rsid w:val="006E1E23"/>
    <w:rsid w:val="006E3035"/>
    <w:rsid w:val="006E3C47"/>
    <w:rsid w:val="006E3F42"/>
    <w:rsid w:val="006E3F73"/>
    <w:rsid w:val="006E4B41"/>
    <w:rsid w:val="006E63B6"/>
    <w:rsid w:val="006E6C2F"/>
    <w:rsid w:val="006E6E31"/>
    <w:rsid w:val="006E6F38"/>
    <w:rsid w:val="006E737B"/>
    <w:rsid w:val="006F0DDB"/>
    <w:rsid w:val="006F1F62"/>
    <w:rsid w:val="006F36ED"/>
    <w:rsid w:val="006F6E49"/>
    <w:rsid w:val="00700554"/>
    <w:rsid w:val="007010AE"/>
    <w:rsid w:val="00701DB0"/>
    <w:rsid w:val="007048DF"/>
    <w:rsid w:val="00710BC9"/>
    <w:rsid w:val="0071171F"/>
    <w:rsid w:val="00711C48"/>
    <w:rsid w:val="00712E4B"/>
    <w:rsid w:val="00713053"/>
    <w:rsid w:val="00713B19"/>
    <w:rsid w:val="00713E06"/>
    <w:rsid w:val="00720679"/>
    <w:rsid w:val="00721997"/>
    <w:rsid w:val="0072434E"/>
    <w:rsid w:val="007276EA"/>
    <w:rsid w:val="00730174"/>
    <w:rsid w:val="007318C8"/>
    <w:rsid w:val="007320E0"/>
    <w:rsid w:val="00733F64"/>
    <w:rsid w:val="0073536E"/>
    <w:rsid w:val="00737BF2"/>
    <w:rsid w:val="00741C4D"/>
    <w:rsid w:val="0074210C"/>
    <w:rsid w:val="00743596"/>
    <w:rsid w:val="00743A3E"/>
    <w:rsid w:val="007468AF"/>
    <w:rsid w:val="007470BC"/>
    <w:rsid w:val="00751D23"/>
    <w:rsid w:val="00753666"/>
    <w:rsid w:val="007542EC"/>
    <w:rsid w:val="00755D5B"/>
    <w:rsid w:val="0076112B"/>
    <w:rsid w:val="00762E7F"/>
    <w:rsid w:val="0076327C"/>
    <w:rsid w:val="007634EE"/>
    <w:rsid w:val="007659CB"/>
    <w:rsid w:val="00770D71"/>
    <w:rsid w:val="007733ED"/>
    <w:rsid w:val="00780CAC"/>
    <w:rsid w:val="00781CFE"/>
    <w:rsid w:val="00782C47"/>
    <w:rsid w:val="00785706"/>
    <w:rsid w:val="00787B2B"/>
    <w:rsid w:val="007912A5"/>
    <w:rsid w:val="007916F0"/>
    <w:rsid w:val="007919D6"/>
    <w:rsid w:val="00792563"/>
    <w:rsid w:val="00792CA8"/>
    <w:rsid w:val="00793D69"/>
    <w:rsid w:val="00794809"/>
    <w:rsid w:val="007977C8"/>
    <w:rsid w:val="007A1748"/>
    <w:rsid w:val="007A4823"/>
    <w:rsid w:val="007A737B"/>
    <w:rsid w:val="007B2C42"/>
    <w:rsid w:val="007B3222"/>
    <w:rsid w:val="007B639A"/>
    <w:rsid w:val="007B6DBA"/>
    <w:rsid w:val="007B715C"/>
    <w:rsid w:val="007C0C52"/>
    <w:rsid w:val="007C1016"/>
    <w:rsid w:val="007C153E"/>
    <w:rsid w:val="007C20DA"/>
    <w:rsid w:val="007C4104"/>
    <w:rsid w:val="007C6C93"/>
    <w:rsid w:val="007D2514"/>
    <w:rsid w:val="007D2758"/>
    <w:rsid w:val="007D61D5"/>
    <w:rsid w:val="007D66CC"/>
    <w:rsid w:val="007D6777"/>
    <w:rsid w:val="007D75D2"/>
    <w:rsid w:val="007D7C64"/>
    <w:rsid w:val="007D7E1F"/>
    <w:rsid w:val="007E1608"/>
    <w:rsid w:val="007E513E"/>
    <w:rsid w:val="007E79D1"/>
    <w:rsid w:val="007E7D00"/>
    <w:rsid w:val="007F030C"/>
    <w:rsid w:val="007F3F73"/>
    <w:rsid w:val="007F4305"/>
    <w:rsid w:val="007F4372"/>
    <w:rsid w:val="007F58A4"/>
    <w:rsid w:val="00800827"/>
    <w:rsid w:val="008013C6"/>
    <w:rsid w:val="00802378"/>
    <w:rsid w:val="0080332C"/>
    <w:rsid w:val="008038A6"/>
    <w:rsid w:val="00804D8F"/>
    <w:rsid w:val="00807BF0"/>
    <w:rsid w:val="008106A9"/>
    <w:rsid w:val="0081365E"/>
    <w:rsid w:val="00816611"/>
    <w:rsid w:val="00816DAD"/>
    <w:rsid w:val="008218CF"/>
    <w:rsid w:val="00826283"/>
    <w:rsid w:val="00831AC0"/>
    <w:rsid w:val="00831CC6"/>
    <w:rsid w:val="00832D3E"/>
    <w:rsid w:val="008333A5"/>
    <w:rsid w:val="00833898"/>
    <w:rsid w:val="0083783F"/>
    <w:rsid w:val="0083789F"/>
    <w:rsid w:val="008424B7"/>
    <w:rsid w:val="00842715"/>
    <w:rsid w:val="00843945"/>
    <w:rsid w:val="0084422D"/>
    <w:rsid w:val="00844E35"/>
    <w:rsid w:val="00846890"/>
    <w:rsid w:val="008472EC"/>
    <w:rsid w:val="00850259"/>
    <w:rsid w:val="00852778"/>
    <w:rsid w:val="00861ECA"/>
    <w:rsid w:val="00862056"/>
    <w:rsid w:val="00862694"/>
    <w:rsid w:val="00864A20"/>
    <w:rsid w:val="00864E28"/>
    <w:rsid w:val="00865224"/>
    <w:rsid w:val="00871085"/>
    <w:rsid w:val="00871419"/>
    <w:rsid w:val="00871EC2"/>
    <w:rsid w:val="00873FB9"/>
    <w:rsid w:val="00876A82"/>
    <w:rsid w:val="00882999"/>
    <w:rsid w:val="0088313C"/>
    <w:rsid w:val="00883B6E"/>
    <w:rsid w:val="00883FA0"/>
    <w:rsid w:val="008871EB"/>
    <w:rsid w:val="008930E3"/>
    <w:rsid w:val="008969B2"/>
    <w:rsid w:val="00897BD2"/>
    <w:rsid w:val="00897F90"/>
    <w:rsid w:val="008A0D2E"/>
    <w:rsid w:val="008A18FD"/>
    <w:rsid w:val="008A2A17"/>
    <w:rsid w:val="008A2EF8"/>
    <w:rsid w:val="008A56C7"/>
    <w:rsid w:val="008A585A"/>
    <w:rsid w:val="008A60E0"/>
    <w:rsid w:val="008A6769"/>
    <w:rsid w:val="008A7E82"/>
    <w:rsid w:val="008A7EC3"/>
    <w:rsid w:val="008B110C"/>
    <w:rsid w:val="008B2165"/>
    <w:rsid w:val="008B5163"/>
    <w:rsid w:val="008B7DDA"/>
    <w:rsid w:val="008C0275"/>
    <w:rsid w:val="008C15CC"/>
    <w:rsid w:val="008C4EAC"/>
    <w:rsid w:val="008D021B"/>
    <w:rsid w:val="008D09B0"/>
    <w:rsid w:val="008D12E7"/>
    <w:rsid w:val="008D33CD"/>
    <w:rsid w:val="008D429F"/>
    <w:rsid w:val="008D4BFE"/>
    <w:rsid w:val="008D7A02"/>
    <w:rsid w:val="008E18A9"/>
    <w:rsid w:val="008E31AA"/>
    <w:rsid w:val="008E3238"/>
    <w:rsid w:val="008E36CC"/>
    <w:rsid w:val="008E6273"/>
    <w:rsid w:val="008E6D60"/>
    <w:rsid w:val="008E6E22"/>
    <w:rsid w:val="008E797A"/>
    <w:rsid w:val="008E7D6E"/>
    <w:rsid w:val="008F16B5"/>
    <w:rsid w:val="008F7F16"/>
    <w:rsid w:val="009002FB"/>
    <w:rsid w:val="00901400"/>
    <w:rsid w:val="009041ED"/>
    <w:rsid w:val="00906EE6"/>
    <w:rsid w:val="009100FA"/>
    <w:rsid w:val="00915FF8"/>
    <w:rsid w:val="00920506"/>
    <w:rsid w:val="00921256"/>
    <w:rsid w:val="00921F3A"/>
    <w:rsid w:val="009232A9"/>
    <w:rsid w:val="00927226"/>
    <w:rsid w:val="0093242C"/>
    <w:rsid w:val="00932594"/>
    <w:rsid w:val="00934DD3"/>
    <w:rsid w:val="00936686"/>
    <w:rsid w:val="00936B2B"/>
    <w:rsid w:val="009406E7"/>
    <w:rsid w:val="00940F0D"/>
    <w:rsid w:val="00941A15"/>
    <w:rsid w:val="009420BA"/>
    <w:rsid w:val="00944455"/>
    <w:rsid w:val="00945153"/>
    <w:rsid w:val="00946FF1"/>
    <w:rsid w:val="00947290"/>
    <w:rsid w:val="0095409B"/>
    <w:rsid w:val="00954DDF"/>
    <w:rsid w:val="00956283"/>
    <w:rsid w:val="00961D7B"/>
    <w:rsid w:val="00962543"/>
    <w:rsid w:val="009633F1"/>
    <w:rsid w:val="00967256"/>
    <w:rsid w:val="00967374"/>
    <w:rsid w:val="00970DEF"/>
    <w:rsid w:val="009733D4"/>
    <w:rsid w:val="009743BD"/>
    <w:rsid w:val="00974527"/>
    <w:rsid w:val="00980F69"/>
    <w:rsid w:val="00981A4A"/>
    <w:rsid w:val="0098308B"/>
    <w:rsid w:val="00983379"/>
    <w:rsid w:val="00983714"/>
    <w:rsid w:val="0098382B"/>
    <w:rsid w:val="00984665"/>
    <w:rsid w:val="00986202"/>
    <w:rsid w:val="0099142B"/>
    <w:rsid w:val="00993AF8"/>
    <w:rsid w:val="00994485"/>
    <w:rsid w:val="00994D93"/>
    <w:rsid w:val="00995D38"/>
    <w:rsid w:val="00996858"/>
    <w:rsid w:val="00997494"/>
    <w:rsid w:val="009A2207"/>
    <w:rsid w:val="009A3928"/>
    <w:rsid w:val="009A6A23"/>
    <w:rsid w:val="009B141A"/>
    <w:rsid w:val="009B401D"/>
    <w:rsid w:val="009B6356"/>
    <w:rsid w:val="009B648C"/>
    <w:rsid w:val="009B683A"/>
    <w:rsid w:val="009B7AA6"/>
    <w:rsid w:val="009C3FC2"/>
    <w:rsid w:val="009C4172"/>
    <w:rsid w:val="009C4CC3"/>
    <w:rsid w:val="009C523B"/>
    <w:rsid w:val="009C74F4"/>
    <w:rsid w:val="009D0902"/>
    <w:rsid w:val="009D0B8D"/>
    <w:rsid w:val="009D122C"/>
    <w:rsid w:val="009D2248"/>
    <w:rsid w:val="009D22CB"/>
    <w:rsid w:val="009D2F69"/>
    <w:rsid w:val="009D30AE"/>
    <w:rsid w:val="009D31CD"/>
    <w:rsid w:val="009D4585"/>
    <w:rsid w:val="009E00C5"/>
    <w:rsid w:val="009E1734"/>
    <w:rsid w:val="009E1C08"/>
    <w:rsid w:val="009E1CBB"/>
    <w:rsid w:val="009E2FF0"/>
    <w:rsid w:val="009E4F9C"/>
    <w:rsid w:val="009E6FC4"/>
    <w:rsid w:val="009F3749"/>
    <w:rsid w:val="009F677C"/>
    <w:rsid w:val="00A05876"/>
    <w:rsid w:val="00A07421"/>
    <w:rsid w:val="00A078F4"/>
    <w:rsid w:val="00A125FC"/>
    <w:rsid w:val="00A14280"/>
    <w:rsid w:val="00A155CA"/>
    <w:rsid w:val="00A166A8"/>
    <w:rsid w:val="00A20B09"/>
    <w:rsid w:val="00A22FF2"/>
    <w:rsid w:val="00A23130"/>
    <w:rsid w:val="00A231DF"/>
    <w:rsid w:val="00A23526"/>
    <w:rsid w:val="00A301BF"/>
    <w:rsid w:val="00A31BEA"/>
    <w:rsid w:val="00A3314B"/>
    <w:rsid w:val="00A332DE"/>
    <w:rsid w:val="00A33866"/>
    <w:rsid w:val="00A34F86"/>
    <w:rsid w:val="00A36035"/>
    <w:rsid w:val="00A366D4"/>
    <w:rsid w:val="00A36946"/>
    <w:rsid w:val="00A37E12"/>
    <w:rsid w:val="00A40744"/>
    <w:rsid w:val="00A41AA8"/>
    <w:rsid w:val="00A41DFC"/>
    <w:rsid w:val="00A44D49"/>
    <w:rsid w:val="00A45746"/>
    <w:rsid w:val="00A45EEE"/>
    <w:rsid w:val="00A47D0A"/>
    <w:rsid w:val="00A507DF"/>
    <w:rsid w:val="00A51CEB"/>
    <w:rsid w:val="00A524FF"/>
    <w:rsid w:val="00A52FDE"/>
    <w:rsid w:val="00A53176"/>
    <w:rsid w:val="00A533BC"/>
    <w:rsid w:val="00A54D76"/>
    <w:rsid w:val="00A579E7"/>
    <w:rsid w:val="00A60BCB"/>
    <w:rsid w:val="00A61EF6"/>
    <w:rsid w:val="00A62C85"/>
    <w:rsid w:val="00A64879"/>
    <w:rsid w:val="00A65441"/>
    <w:rsid w:val="00A65612"/>
    <w:rsid w:val="00A70317"/>
    <w:rsid w:val="00A70728"/>
    <w:rsid w:val="00A70B11"/>
    <w:rsid w:val="00A71374"/>
    <w:rsid w:val="00A727DC"/>
    <w:rsid w:val="00A7343B"/>
    <w:rsid w:val="00A7393A"/>
    <w:rsid w:val="00A73EEA"/>
    <w:rsid w:val="00A73F93"/>
    <w:rsid w:val="00A756C5"/>
    <w:rsid w:val="00A76A46"/>
    <w:rsid w:val="00A7772B"/>
    <w:rsid w:val="00A77FB4"/>
    <w:rsid w:val="00A80C3A"/>
    <w:rsid w:val="00A81362"/>
    <w:rsid w:val="00A83216"/>
    <w:rsid w:val="00A83325"/>
    <w:rsid w:val="00A844C2"/>
    <w:rsid w:val="00A84732"/>
    <w:rsid w:val="00A86F1E"/>
    <w:rsid w:val="00A907AC"/>
    <w:rsid w:val="00A92AEC"/>
    <w:rsid w:val="00A92D7B"/>
    <w:rsid w:val="00A94DC3"/>
    <w:rsid w:val="00A95489"/>
    <w:rsid w:val="00A97227"/>
    <w:rsid w:val="00A97CA5"/>
    <w:rsid w:val="00AA0700"/>
    <w:rsid w:val="00AA10D9"/>
    <w:rsid w:val="00AA1727"/>
    <w:rsid w:val="00AA2407"/>
    <w:rsid w:val="00AA3D8B"/>
    <w:rsid w:val="00AA46D5"/>
    <w:rsid w:val="00AA5807"/>
    <w:rsid w:val="00AA6235"/>
    <w:rsid w:val="00AB23CB"/>
    <w:rsid w:val="00AB29A7"/>
    <w:rsid w:val="00AB475F"/>
    <w:rsid w:val="00AB6E1E"/>
    <w:rsid w:val="00AB6E98"/>
    <w:rsid w:val="00AC12D9"/>
    <w:rsid w:val="00AC1B7F"/>
    <w:rsid w:val="00AC5491"/>
    <w:rsid w:val="00AC5614"/>
    <w:rsid w:val="00AC7A20"/>
    <w:rsid w:val="00AD40E0"/>
    <w:rsid w:val="00AD5AAE"/>
    <w:rsid w:val="00AD6DA0"/>
    <w:rsid w:val="00AE221B"/>
    <w:rsid w:val="00AE28A8"/>
    <w:rsid w:val="00AE30B2"/>
    <w:rsid w:val="00AE5226"/>
    <w:rsid w:val="00AE6641"/>
    <w:rsid w:val="00AF0E98"/>
    <w:rsid w:val="00AF15C3"/>
    <w:rsid w:val="00AF1B98"/>
    <w:rsid w:val="00AF3419"/>
    <w:rsid w:val="00AF591A"/>
    <w:rsid w:val="00AF7462"/>
    <w:rsid w:val="00AF7E65"/>
    <w:rsid w:val="00B0081D"/>
    <w:rsid w:val="00B0437C"/>
    <w:rsid w:val="00B06250"/>
    <w:rsid w:val="00B077FA"/>
    <w:rsid w:val="00B108DB"/>
    <w:rsid w:val="00B119D2"/>
    <w:rsid w:val="00B11BBA"/>
    <w:rsid w:val="00B13FC7"/>
    <w:rsid w:val="00B150B9"/>
    <w:rsid w:val="00B15420"/>
    <w:rsid w:val="00B1689E"/>
    <w:rsid w:val="00B16AA4"/>
    <w:rsid w:val="00B1736E"/>
    <w:rsid w:val="00B1764E"/>
    <w:rsid w:val="00B200F7"/>
    <w:rsid w:val="00B217D3"/>
    <w:rsid w:val="00B222B0"/>
    <w:rsid w:val="00B226DB"/>
    <w:rsid w:val="00B226E8"/>
    <w:rsid w:val="00B22C5A"/>
    <w:rsid w:val="00B22DB1"/>
    <w:rsid w:val="00B231B5"/>
    <w:rsid w:val="00B2355F"/>
    <w:rsid w:val="00B2678B"/>
    <w:rsid w:val="00B323BE"/>
    <w:rsid w:val="00B3321F"/>
    <w:rsid w:val="00B34332"/>
    <w:rsid w:val="00B35150"/>
    <w:rsid w:val="00B35201"/>
    <w:rsid w:val="00B3552A"/>
    <w:rsid w:val="00B3576B"/>
    <w:rsid w:val="00B359C6"/>
    <w:rsid w:val="00B36636"/>
    <w:rsid w:val="00B37732"/>
    <w:rsid w:val="00B4185E"/>
    <w:rsid w:val="00B436B9"/>
    <w:rsid w:val="00B44279"/>
    <w:rsid w:val="00B45F75"/>
    <w:rsid w:val="00B46FA1"/>
    <w:rsid w:val="00B47C37"/>
    <w:rsid w:val="00B5147B"/>
    <w:rsid w:val="00B52AF1"/>
    <w:rsid w:val="00B53B0C"/>
    <w:rsid w:val="00B54157"/>
    <w:rsid w:val="00B54F2C"/>
    <w:rsid w:val="00B5556F"/>
    <w:rsid w:val="00B557D1"/>
    <w:rsid w:val="00B57CE7"/>
    <w:rsid w:val="00B60D41"/>
    <w:rsid w:val="00B6160D"/>
    <w:rsid w:val="00B61B9C"/>
    <w:rsid w:val="00B630F3"/>
    <w:rsid w:val="00B635CE"/>
    <w:rsid w:val="00B6364D"/>
    <w:rsid w:val="00B638B3"/>
    <w:rsid w:val="00B63FAE"/>
    <w:rsid w:val="00B66A6F"/>
    <w:rsid w:val="00B67336"/>
    <w:rsid w:val="00B71977"/>
    <w:rsid w:val="00B7399E"/>
    <w:rsid w:val="00B741AD"/>
    <w:rsid w:val="00B74A64"/>
    <w:rsid w:val="00B76A83"/>
    <w:rsid w:val="00B76DC4"/>
    <w:rsid w:val="00B778FA"/>
    <w:rsid w:val="00B811C8"/>
    <w:rsid w:val="00B8351E"/>
    <w:rsid w:val="00B86108"/>
    <w:rsid w:val="00B90AFC"/>
    <w:rsid w:val="00B91D39"/>
    <w:rsid w:val="00B9205D"/>
    <w:rsid w:val="00B932CF"/>
    <w:rsid w:val="00B93D93"/>
    <w:rsid w:val="00B93E34"/>
    <w:rsid w:val="00B94F9A"/>
    <w:rsid w:val="00B954AD"/>
    <w:rsid w:val="00B959BB"/>
    <w:rsid w:val="00B96732"/>
    <w:rsid w:val="00B978BF"/>
    <w:rsid w:val="00BA1598"/>
    <w:rsid w:val="00BA2636"/>
    <w:rsid w:val="00BA27CD"/>
    <w:rsid w:val="00BA7010"/>
    <w:rsid w:val="00BA71BC"/>
    <w:rsid w:val="00BB0A0A"/>
    <w:rsid w:val="00BB1569"/>
    <w:rsid w:val="00BB2365"/>
    <w:rsid w:val="00BB2921"/>
    <w:rsid w:val="00BB5DF3"/>
    <w:rsid w:val="00BC197F"/>
    <w:rsid w:val="00BC22FE"/>
    <w:rsid w:val="00BC3B4B"/>
    <w:rsid w:val="00BC3D91"/>
    <w:rsid w:val="00BC54D8"/>
    <w:rsid w:val="00BC59C8"/>
    <w:rsid w:val="00BD08EE"/>
    <w:rsid w:val="00BD12AB"/>
    <w:rsid w:val="00BD65BC"/>
    <w:rsid w:val="00BE148F"/>
    <w:rsid w:val="00BE2D60"/>
    <w:rsid w:val="00BE2D86"/>
    <w:rsid w:val="00BE3B6F"/>
    <w:rsid w:val="00BE3CCA"/>
    <w:rsid w:val="00BE4413"/>
    <w:rsid w:val="00BE49B0"/>
    <w:rsid w:val="00BE4EEA"/>
    <w:rsid w:val="00BE5632"/>
    <w:rsid w:val="00BE5A5B"/>
    <w:rsid w:val="00BE611B"/>
    <w:rsid w:val="00BE6D77"/>
    <w:rsid w:val="00BF0BD0"/>
    <w:rsid w:val="00BF1A68"/>
    <w:rsid w:val="00BF1D2C"/>
    <w:rsid w:val="00BF3BED"/>
    <w:rsid w:val="00BF7093"/>
    <w:rsid w:val="00C02AD6"/>
    <w:rsid w:val="00C03412"/>
    <w:rsid w:val="00C05ADA"/>
    <w:rsid w:val="00C05F9B"/>
    <w:rsid w:val="00C06C19"/>
    <w:rsid w:val="00C06DC6"/>
    <w:rsid w:val="00C07B41"/>
    <w:rsid w:val="00C133B8"/>
    <w:rsid w:val="00C1343A"/>
    <w:rsid w:val="00C143BF"/>
    <w:rsid w:val="00C14B90"/>
    <w:rsid w:val="00C154D4"/>
    <w:rsid w:val="00C161A2"/>
    <w:rsid w:val="00C16865"/>
    <w:rsid w:val="00C17198"/>
    <w:rsid w:val="00C22840"/>
    <w:rsid w:val="00C22C9C"/>
    <w:rsid w:val="00C2730A"/>
    <w:rsid w:val="00C31A6A"/>
    <w:rsid w:val="00C32D70"/>
    <w:rsid w:val="00C35191"/>
    <w:rsid w:val="00C364F8"/>
    <w:rsid w:val="00C42556"/>
    <w:rsid w:val="00C42670"/>
    <w:rsid w:val="00C42C5D"/>
    <w:rsid w:val="00C43A0B"/>
    <w:rsid w:val="00C44691"/>
    <w:rsid w:val="00C44D4E"/>
    <w:rsid w:val="00C46C8E"/>
    <w:rsid w:val="00C46FD4"/>
    <w:rsid w:val="00C47DCE"/>
    <w:rsid w:val="00C52807"/>
    <w:rsid w:val="00C53049"/>
    <w:rsid w:val="00C537F2"/>
    <w:rsid w:val="00C64C6D"/>
    <w:rsid w:val="00C6597A"/>
    <w:rsid w:val="00C67536"/>
    <w:rsid w:val="00C67B07"/>
    <w:rsid w:val="00C70E80"/>
    <w:rsid w:val="00C7193D"/>
    <w:rsid w:val="00C71B14"/>
    <w:rsid w:val="00C71CC1"/>
    <w:rsid w:val="00C71FD8"/>
    <w:rsid w:val="00C740A3"/>
    <w:rsid w:val="00C77303"/>
    <w:rsid w:val="00C80177"/>
    <w:rsid w:val="00C80584"/>
    <w:rsid w:val="00C80667"/>
    <w:rsid w:val="00C82D2A"/>
    <w:rsid w:val="00C83D44"/>
    <w:rsid w:val="00C83E9F"/>
    <w:rsid w:val="00C83F70"/>
    <w:rsid w:val="00C84394"/>
    <w:rsid w:val="00C85A78"/>
    <w:rsid w:val="00C9188D"/>
    <w:rsid w:val="00C91B57"/>
    <w:rsid w:val="00C9477F"/>
    <w:rsid w:val="00C94E0F"/>
    <w:rsid w:val="00C97A7B"/>
    <w:rsid w:val="00CA0AB8"/>
    <w:rsid w:val="00CA1148"/>
    <w:rsid w:val="00CA1977"/>
    <w:rsid w:val="00CA1B53"/>
    <w:rsid w:val="00CA3183"/>
    <w:rsid w:val="00CA33D5"/>
    <w:rsid w:val="00CA4DA2"/>
    <w:rsid w:val="00CA5E57"/>
    <w:rsid w:val="00CA7FE2"/>
    <w:rsid w:val="00CB25D7"/>
    <w:rsid w:val="00CB2E95"/>
    <w:rsid w:val="00CB3AF6"/>
    <w:rsid w:val="00CB415B"/>
    <w:rsid w:val="00CB6681"/>
    <w:rsid w:val="00CB6CFF"/>
    <w:rsid w:val="00CB7352"/>
    <w:rsid w:val="00CB7D53"/>
    <w:rsid w:val="00CC3B6E"/>
    <w:rsid w:val="00CC3FCA"/>
    <w:rsid w:val="00CC533C"/>
    <w:rsid w:val="00CC5787"/>
    <w:rsid w:val="00CC76EE"/>
    <w:rsid w:val="00CD18E7"/>
    <w:rsid w:val="00CD4AAF"/>
    <w:rsid w:val="00CD53E3"/>
    <w:rsid w:val="00CD65EA"/>
    <w:rsid w:val="00CD6B2B"/>
    <w:rsid w:val="00CD6CA6"/>
    <w:rsid w:val="00CD7318"/>
    <w:rsid w:val="00CE22C2"/>
    <w:rsid w:val="00CE39BC"/>
    <w:rsid w:val="00CE3B0A"/>
    <w:rsid w:val="00CE4C62"/>
    <w:rsid w:val="00CE7273"/>
    <w:rsid w:val="00CE7999"/>
    <w:rsid w:val="00CE7CC4"/>
    <w:rsid w:val="00CF1557"/>
    <w:rsid w:val="00CF1881"/>
    <w:rsid w:val="00CF4874"/>
    <w:rsid w:val="00CF583B"/>
    <w:rsid w:val="00CF604C"/>
    <w:rsid w:val="00CF626A"/>
    <w:rsid w:val="00CF6994"/>
    <w:rsid w:val="00CF773C"/>
    <w:rsid w:val="00D00DC7"/>
    <w:rsid w:val="00D0320F"/>
    <w:rsid w:val="00D10085"/>
    <w:rsid w:val="00D1292D"/>
    <w:rsid w:val="00D13461"/>
    <w:rsid w:val="00D13B48"/>
    <w:rsid w:val="00D2027C"/>
    <w:rsid w:val="00D2392B"/>
    <w:rsid w:val="00D23D67"/>
    <w:rsid w:val="00D36C91"/>
    <w:rsid w:val="00D3708D"/>
    <w:rsid w:val="00D37D7D"/>
    <w:rsid w:val="00D405D5"/>
    <w:rsid w:val="00D4489C"/>
    <w:rsid w:val="00D44A25"/>
    <w:rsid w:val="00D44B70"/>
    <w:rsid w:val="00D465A7"/>
    <w:rsid w:val="00D471C1"/>
    <w:rsid w:val="00D475B1"/>
    <w:rsid w:val="00D477E1"/>
    <w:rsid w:val="00D506A3"/>
    <w:rsid w:val="00D510EC"/>
    <w:rsid w:val="00D5373E"/>
    <w:rsid w:val="00D53CB4"/>
    <w:rsid w:val="00D53DFA"/>
    <w:rsid w:val="00D54ADC"/>
    <w:rsid w:val="00D60790"/>
    <w:rsid w:val="00D61DC5"/>
    <w:rsid w:val="00D622DB"/>
    <w:rsid w:val="00D6326A"/>
    <w:rsid w:val="00D63DC7"/>
    <w:rsid w:val="00D6759A"/>
    <w:rsid w:val="00D70261"/>
    <w:rsid w:val="00D70F7F"/>
    <w:rsid w:val="00D73374"/>
    <w:rsid w:val="00D7337F"/>
    <w:rsid w:val="00D735D6"/>
    <w:rsid w:val="00D7411A"/>
    <w:rsid w:val="00D8094A"/>
    <w:rsid w:val="00D8123D"/>
    <w:rsid w:val="00D834CB"/>
    <w:rsid w:val="00D8375E"/>
    <w:rsid w:val="00D83C06"/>
    <w:rsid w:val="00D84865"/>
    <w:rsid w:val="00D864C4"/>
    <w:rsid w:val="00D91100"/>
    <w:rsid w:val="00D9135A"/>
    <w:rsid w:val="00D93A1A"/>
    <w:rsid w:val="00D94A69"/>
    <w:rsid w:val="00D94B8D"/>
    <w:rsid w:val="00D96D2D"/>
    <w:rsid w:val="00D97A53"/>
    <w:rsid w:val="00D97ADE"/>
    <w:rsid w:val="00DA1308"/>
    <w:rsid w:val="00DA25E5"/>
    <w:rsid w:val="00DA3A6E"/>
    <w:rsid w:val="00DA43B5"/>
    <w:rsid w:val="00DA5475"/>
    <w:rsid w:val="00DA71E8"/>
    <w:rsid w:val="00DA75DE"/>
    <w:rsid w:val="00DA7806"/>
    <w:rsid w:val="00DA7A65"/>
    <w:rsid w:val="00DB096A"/>
    <w:rsid w:val="00DB0D15"/>
    <w:rsid w:val="00DB2D73"/>
    <w:rsid w:val="00DB7F62"/>
    <w:rsid w:val="00DC1ABD"/>
    <w:rsid w:val="00DC2527"/>
    <w:rsid w:val="00DC25ED"/>
    <w:rsid w:val="00DC2F4C"/>
    <w:rsid w:val="00DC6BB3"/>
    <w:rsid w:val="00DD0E1B"/>
    <w:rsid w:val="00DD1D86"/>
    <w:rsid w:val="00DD2538"/>
    <w:rsid w:val="00DD2EC2"/>
    <w:rsid w:val="00DD375E"/>
    <w:rsid w:val="00DD3AD8"/>
    <w:rsid w:val="00DD591F"/>
    <w:rsid w:val="00DD5E78"/>
    <w:rsid w:val="00DE077D"/>
    <w:rsid w:val="00DE18A8"/>
    <w:rsid w:val="00DE18D3"/>
    <w:rsid w:val="00DE3630"/>
    <w:rsid w:val="00DE3A2B"/>
    <w:rsid w:val="00DE4455"/>
    <w:rsid w:val="00DE4875"/>
    <w:rsid w:val="00DF090C"/>
    <w:rsid w:val="00DF2827"/>
    <w:rsid w:val="00DF2CDD"/>
    <w:rsid w:val="00DF57BA"/>
    <w:rsid w:val="00DF5FCE"/>
    <w:rsid w:val="00E00716"/>
    <w:rsid w:val="00E0213D"/>
    <w:rsid w:val="00E0221C"/>
    <w:rsid w:val="00E02B8D"/>
    <w:rsid w:val="00E0391D"/>
    <w:rsid w:val="00E03A67"/>
    <w:rsid w:val="00E05C0F"/>
    <w:rsid w:val="00E068E6"/>
    <w:rsid w:val="00E1644D"/>
    <w:rsid w:val="00E17AB4"/>
    <w:rsid w:val="00E2209A"/>
    <w:rsid w:val="00E229ED"/>
    <w:rsid w:val="00E23C46"/>
    <w:rsid w:val="00E24AA1"/>
    <w:rsid w:val="00E3128C"/>
    <w:rsid w:val="00E31F21"/>
    <w:rsid w:val="00E33075"/>
    <w:rsid w:val="00E35C86"/>
    <w:rsid w:val="00E36774"/>
    <w:rsid w:val="00E36DA2"/>
    <w:rsid w:val="00E40D32"/>
    <w:rsid w:val="00E43654"/>
    <w:rsid w:val="00E45516"/>
    <w:rsid w:val="00E4578E"/>
    <w:rsid w:val="00E4763B"/>
    <w:rsid w:val="00E53343"/>
    <w:rsid w:val="00E539E0"/>
    <w:rsid w:val="00E5482F"/>
    <w:rsid w:val="00E54CF8"/>
    <w:rsid w:val="00E570C8"/>
    <w:rsid w:val="00E60C72"/>
    <w:rsid w:val="00E60D8B"/>
    <w:rsid w:val="00E6143E"/>
    <w:rsid w:val="00E645AD"/>
    <w:rsid w:val="00E65545"/>
    <w:rsid w:val="00E70C23"/>
    <w:rsid w:val="00E71EB7"/>
    <w:rsid w:val="00E7234A"/>
    <w:rsid w:val="00E743F4"/>
    <w:rsid w:val="00E7703B"/>
    <w:rsid w:val="00E81809"/>
    <w:rsid w:val="00E85C0E"/>
    <w:rsid w:val="00E85FA4"/>
    <w:rsid w:val="00E86E2D"/>
    <w:rsid w:val="00E873CE"/>
    <w:rsid w:val="00E8749F"/>
    <w:rsid w:val="00E900CE"/>
    <w:rsid w:val="00E90D46"/>
    <w:rsid w:val="00E90F94"/>
    <w:rsid w:val="00E922DA"/>
    <w:rsid w:val="00E937A2"/>
    <w:rsid w:val="00E93D2C"/>
    <w:rsid w:val="00E96E70"/>
    <w:rsid w:val="00E97037"/>
    <w:rsid w:val="00E97A2E"/>
    <w:rsid w:val="00EA29B2"/>
    <w:rsid w:val="00EA3303"/>
    <w:rsid w:val="00EA4E4D"/>
    <w:rsid w:val="00EA6E27"/>
    <w:rsid w:val="00EB00AC"/>
    <w:rsid w:val="00EB37BD"/>
    <w:rsid w:val="00EB79D0"/>
    <w:rsid w:val="00EC1E3A"/>
    <w:rsid w:val="00EC3C7F"/>
    <w:rsid w:val="00EC5F34"/>
    <w:rsid w:val="00ED040E"/>
    <w:rsid w:val="00ED1345"/>
    <w:rsid w:val="00ED24B9"/>
    <w:rsid w:val="00ED5EDB"/>
    <w:rsid w:val="00ED60D4"/>
    <w:rsid w:val="00ED6723"/>
    <w:rsid w:val="00ED6BB4"/>
    <w:rsid w:val="00ED7945"/>
    <w:rsid w:val="00EE15CD"/>
    <w:rsid w:val="00EE1784"/>
    <w:rsid w:val="00EE1FCA"/>
    <w:rsid w:val="00EE243F"/>
    <w:rsid w:val="00EE3028"/>
    <w:rsid w:val="00EE3970"/>
    <w:rsid w:val="00EE6E5F"/>
    <w:rsid w:val="00EF39A0"/>
    <w:rsid w:val="00EF3C47"/>
    <w:rsid w:val="00EF4658"/>
    <w:rsid w:val="00EF5C85"/>
    <w:rsid w:val="00EF6E47"/>
    <w:rsid w:val="00F01F1D"/>
    <w:rsid w:val="00F030E5"/>
    <w:rsid w:val="00F03D38"/>
    <w:rsid w:val="00F04DD7"/>
    <w:rsid w:val="00F04E04"/>
    <w:rsid w:val="00F0785B"/>
    <w:rsid w:val="00F11194"/>
    <w:rsid w:val="00F11271"/>
    <w:rsid w:val="00F116C7"/>
    <w:rsid w:val="00F1189B"/>
    <w:rsid w:val="00F15411"/>
    <w:rsid w:val="00F15DB5"/>
    <w:rsid w:val="00F168BE"/>
    <w:rsid w:val="00F16AB8"/>
    <w:rsid w:val="00F179AE"/>
    <w:rsid w:val="00F2003D"/>
    <w:rsid w:val="00F20F3F"/>
    <w:rsid w:val="00F21DB4"/>
    <w:rsid w:val="00F22E28"/>
    <w:rsid w:val="00F23253"/>
    <w:rsid w:val="00F23FA5"/>
    <w:rsid w:val="00F27D4E"/>
    <w:rsid w:val="00F30BEA"/>
    <w:rsid w:val="00F329EB"/>
    <w:rsid w:val="00F32A3E"/>
    <w:rsid w:val="00F32E09"/>
    <w:rsid w:val="00F33940"/>
    <w:rsid w:val="00F33ECD"/>
    <w:rsid w:val="00F341DF"/>
    <w:rsid w:val="00F34453"/>
    <w:rsid w:val="00F35175"/>
    <w:rsid w:val="00F356FD"/>
    <w:rsid w:val="00F364B0"/>
    <w:rsid w:val="00F367A1"/>
    <w:rsid w:val="00F36AA3"/>
    <w:rsid w:val="00F37B7A"/>
    <w:rsid w:val="00F41567"/>
    <w:rsid w:val="00F454F3"/>
    <w:rsid w:val="00F47760"/>
    <w:rsid w:val="00F504EB"/>
    <w:rsid w:val="00F52F69"/>
    <w:rsid w:val="00F52FE5"/>
    <w:rsid w:val="00F54822"/>
    <w:rsid w:val="00F574A7"/>
    <w:rsid w:val="00F57B2E"/>
    <w:rsid w:val="00F61557"/>
    <w:rsid w:val="00F615CB"/>
    <w:rsid w:val="00F63764"/>
    <w:rsid w:val="00F650DC"/>
    <w:rsid w:val="00F66C9E"/>
    <w:rsid w:val="00F67350"/>
    <w:rsid w:val="00F70119"/>
    <w:rsid w:val="00F74F70"/>
    <w:rsid w:val="00F74F9E"/>
    <w:rsid w:val="00F75803"/>
    <w:rsid w:val="00F763A1"/>
    <w:rsid w:val="00F77574"/>
    <w:rsid w:val="00F82A08"/>
    <w:rsid w:val="00F8410B"/>
    <w:rsid w:val="00F86EDE"/>
    <w:rsid w:val="00F87C3A"/>
    <w:rsid w:val="00F9195C"/>
    <w:rsid w:val="00F93B52"/>
    <w:rsid w:val="00FA008E"/>
    <w:rsid w:val="00FA02F5"/>
    <w:rsid w:val="00FA0631"/>
    <w:rsid w:val="00FA47BE"/>
    <w:rsid w:val="00FA49B7"/>
    <w:rsid w:val="00FB021B"/>
    <w:rsid w:val="00FB0AA4"/>
    <w:rsid w:val="00FB0F72"/>
    <w:rsid w:val="00FB2010"/>
    <w:rsid w:val="00FB2CB3"/>
    <w:rsid w:val="00FB374D"/>
    <w:rsid w:val="00FB4B36"/>
    <w:rsid w:val="00FB5E93"/>
    <w:rsid w:val="00FB745D"/>
    <w:rsid w:val="00FC1E64"/>
    <w:rsid w:val="00FC3D65"/>
    <w:rsid w:val="00FC4E2D"/>
    <w:rsid w:val="00FC7B39"/>
    <w:rsid w:val="00FD5FB9"/>
    <w:rsid w:val="00FD64ED"/>
    <w:rsid w:val="00FD652F"/>
    <w:rsid w:val="00FE5A98"/>
    <w:rsid w:val="00FE5ABE"/>
    <w:rsid w:val="00FF0B00"/>
    <w:rsid w:val="00FF1D08"/>
    <w:rsid w:val="00FF3DFD"/>
    <w:rsid w:val="00FF5CE0"/>
    <w:rsid w:val="00FF674D"/>
    <w:rsid w:val="00FF6C8D"/>
    <w:rsid w:val="00FF6FBD"/>
    <w:rsid w:val="00FF7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39D8A"/>
  <w15:docId w15:val="{221E4100-647C-4263-A24C-30BDC576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B"/>
    <w:pPr>
      <w:spacing w:after="0" w:line="240" w:lineRule="auto"/>
    </w:pPr>
  </w:style>
  <w:style w:type="paragraph" w:styleId="Heading1">
    <w:name w:val="heading 1"/>
    <w:basedOn w:val="Normal"/>
    <w:next w:val="Normal"/>
    <w:link w:val="Heading1Char"/>
    <w:uiPriority w:val="9"/>
    <w:qFormat/>
    <w:rsid w:val="00940F0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363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4226C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93C8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93C8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395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E3952"/>
    <w:rPr>
      <w:rFonts w:eastAsiaTheme="minorEastAsia"/>
      <w:lang w:val="en-US"/>
    </w:rPr>
  </w:style>
  <w:style w:type="paragraph" w:styleId="Header">
    <w:name w:val="header"/>
    <w:basedOn w:val="Normal"/>
    <w:link w:val="HeaderChar"/>
    <w:uiPriority w:val="99"/>
    <w:unhideWhenUsed/>
    <w:rsid w:val="005E3952"/>
    <w:pPr>
      <w:tabs>
        <w:tab w:val="center" w:pos="4513"/>
        <w:tab w:val="right" w:pos="9026"/>
      </w:tabs>
    </w:pPr>
  </w:style>
  <w:style w:type="character" w:customStyle="1" w:styleId="HeaderChar">
    <w:name w:val="Header Char"/>
    <w:basedOn w:val="DefaultParagraphFont"/>
    <w:link w:val="Header"/>
    <w:uiPriority w:val="99"/>
    <w:rsid w:val="005E3952"/>
  </w:style>
  <w:style w:type="paragraph" w:styleId="Footer">
    <w:name w:val="footer"/>
    <w:basedOn w:val="Normal"/>
    <w:link w:val="FooterChar"/>
    <w:uiPriority w:val="99"/>
    <w:unhideWhenUsed/>
    <w:rsid w:val="005E3952"/>
    <w:pPr>
      <w:tabs>
        <w:tab w:val="center" w:pos="4513"/>
        <w:tab w:val="right" w:pos="9026"/>
      </w:tabs>
    </w:pPr>
  </w:style>
  <w:style w:type="character" w:customStyle="1" w:styleId="FooterChar">
    <w:name w:val="Footer Char"/>
    <w:basedOn w:val="DefaultParagraphFont"/>
    <w:link w:val="Footer"/>
    <w:uiPriority w:val="99"/>
    <w:rsid w:val="005E3952"/>
  </w:style>
  <w:style w:type="table" w:customStyle="1" w:styleId="TableGrid1">
    <w:name w:val="Table Grid1"/>
    <w:basedOn w:val="TableNormal"/>
    <w:next w:val="TableGrid"/>
    <w:uiPriority w:val="59"/>
    <w:rsid w:val="00B83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B8351E"/>
    <w:rPr>
      <w:sz w:val="20"/>
      <w:szCs w:val="20"/>
    </w:rPr>
  </w:style>
  <w:style w:type="character" w:customStyle="1" w:styleId="FootnoteTextChar">
    <w:name w:val="Footnote Text Char"/>
    <w:basedOn w:val="DefaultParagraphFont"/>
    <w:link w:val="FootnoteText"/>
    <w:uiPriority w:val="99"/>
    <w:rsid w:val="00B8351E"/>
    <w:rPr>
      <w:sz w:val="20"/>
      <w:szCs w:val="20"/>
    </w:rPr>
  </w:style>
  <w:style w:type="character" w:styleId="FootnoteReference">
    <w:name w:val="footnote reference"/>
    <w:basedOn w:val="DefaultParagraphFont"/>
    <w:uiPriority w:val="99"/>
    <w:semiHidden/>
    <w:unhideWhenUsed/>
    <w:rsid w:val="00B8351E"/>
    <w:rPr>
      <w:vertAlign w:val="superscript"/>
    </w:rPr>
  </w:style>
  <w:style w:type="table" w:styleId="TableGrid">
    <w:name w:val="Table Grid"/>
    <w:basedOn w:val="TableNormal"/>
    <w:uiPriority w:val="39"/>
    <w:rsid w:val="00B83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51E"/>
    <w:pPr>
      <w:ind w:left="720"/>
      <w:contextualSpacing/>
    </w:pPr>
  </w:style>
  <w:style w:type="character" w:customStyle="1" w:styleId="Heading1Char">
    <w:name w:val="Heading 1 Char"/>
    <w:basedOn w:val="DefaultParagraphFont"/>
    <w:link w:val="Heading1"/>
    <w:uiPriority w:val="9"/>
    <w:rsid w:val="00940F0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536352"/>
    <w:rPr>
      <w:rFonts w:asciiTheme="majorHAnsi" w:eastAsiaTheme="majorEastAsia" w:hAnsiTheme="majorHAnsi" w:cstheme="majorBidi"/>
      <w:color w:val="2E74B5" w:themeColor="accent1" w:themeShade="BF"/>
      <w:sz w:val="26"/>
      <w:szCs w:val="26"/>
    </w:rPr>
  </w:style>
  <w:style w:type="paragraph" w:customStyle="1" w:styleId="Sub-heading">
    <w:name w:val="Sub-heading"/>
    <w:basedOn w:val="Normal"/>
    <w:rsid w:val="00E43654"/>
    <w:pPr>
      <w:jc w:val="center"/>
    </w:pPr>
    <w:rPr>
      <w:rFonts w:ascii="Arial" w:eastAsia="Times New Roman" w:hAnsi="Arial" w:cs="Arial"/>
      <w:b/>
      <w:color w:val="B10636"/>
      <w:sz w:val="48"/>
      <w:szCs w:val="20"/>
    </w:rPr>
  </w:style>
  <w:style w:type="paragraph" w:customStyle="1" w:styleId="BodyText10">
    <w:name w:val="Body Text1"/>
    <w:basedOn w:val="Normal"/>
    <w:rsid w:val="00A40744"/>
    <w:pPr>
      <w:spacing w:before="240"/>
    </w:pPr>
    <w:rPr>
      <w:rFonts w:ascii="Arial" w:eastAsia="Times New Roman" w:hAnsi="Arial" w:cs="Arial"/>
      <w:color w:val="001C3E"/>
      <w:sz w:val="40"/>
      <w:szCs w:val="20"/>
    </w:rPr>
  </w:style>
  <w:style w:type="character" w:styleId="Hyperlink">
    <w:name w:val="Hyperlink"/>
    <w:basedOn w:val="DefaultParagraphFont"/>
    <w:uiPriority w:val="99"/>
    <w:unhideWhenUsed/>
    <w:rsid w:val="00B9205D"/>
    <w:rPr>
      <w:color w:val="0563C1" w:themeColor="hyperlink"/>
      <w:u w:val="single"/>
    </w:rPr>
  </w:style>
  <w:style w:type="table" w:customStyle="1" w:styleId="TableGrid2">
    <w:name w:val="Table Grid2"/>
    <w:basedOn w:val="TableNormal"/>
    <w:next w:val="TableGrid"/>
    <w:uiPriority w:val="59"/>
    <w:rsid w:val="00181CD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31A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1AC0"/>
    <w:rPr>
      <w:sz w:val="16"/>
      <w:szCs w:val="16"/>
    </w:rPr>
  </w:style>
  <w:style w:type="paragraph" w:styleId="CommentText">
    <w:name w:val="annotation text"/>
    <w:basedOn w:val="Normal"/>
    <w:link w:val="CommentTextChar"/>
    <w:uiPriority w:val="99"/>
    <w:unhideWhenUsed/>
    <w:rsid w:val="00831AC0"/>
    <w:rPr>
      <w:sz w:val="20"/>
      <w:szCs w:val="20"/>
    </w:rPr>
  </w:style>
  <w:style w:type="character" w:customStyle="1" w:styleId="CommentTextChar">
    <w:name w:val="Comment Text Char"/>
    <w:basedOn w:val="DefaultParagraphFont"/>
    <w:link w:val="CommentText"/>
    <w:uiPriority w:val="99"/>
    <w:rsid w:val="00831AC0"/>
    <w:rPr>
      <w:sz w:val="20"/>
      <w:szCs w:val="20"/>
    </w:rPr>
  </w:style>
  <w:style w:type="paragraph" w:styleId="CommentSubject">
    <w:name w:val="annotation subject"/>
    <w:basedOn w:val="CommentText"/>
    <w:next w:val="CommentText"/>
    <w:link w:val="CommentSubjectChar"/>
    <w:uiPriority w:val="99"/>
    <w:semiHidden/>
    <w:unhideWhenUsed/>
    <w:rsid w:val="00831AC0"/>
    <w:rPr>
      <w:b/>
      <w:bCs/>
    </w:rPr>
  </w:style>
  <w:style w:type="character" w:customStyle="1" w:styleId="CommentSubjectChar">
    <w:name w:val="Comment Subject Char"/>
    <w:basedOn w:val="CommentTextChar"/>
    <w:link w:val="CommentSubject"/>
    <w:uiPriority w:val="99"/>
    <w:semiHidden/>
    <w:rsid w:val="00831AC0"/>
    <w:rPr>
      <w:b/>
      <w:bCs/>
      <w:sz w:val="20"/>
      <w:szCs w:val="20"/>
    </w:rPr>
  </w:style>
  <w:style w:type="paragraph" w:styleId="BalloonText">
    <w:name w:val="Balloon Text"/>
    <w:basedOn w:val="Normal"/>
    <w:link w:val="BalloonTextChar"/>
    <w:uiPriority w:val="99"/>
    <w:semiHidden/>
    <w:unhideWhenUsed/>
    <w:rsid w:val="00831A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AC0"/>
    <w:rPr>
      <w:rFonts w:ascii="Segoe UI" w:hAnsi="Segoe UI" w:cs="Segoe UI"/>
      <w:sz w:val="18"/>
      <w:szCs w:val="18"/>
    </w:rPr>
  </w:style>
  <w:style w:type="paragraph" w:styleId="Revision">
    <w:name w:val="Revision"/>
    <w:hidden/>
    <w:uiPriority w:val="99"/>
    <w:semiHidden/>
    <w:rsid w:val="00800827"/>
    <w:pPr>
      <w:spacing w:after="0" w:line="240" w:lineRule="auto"/>
    </w:pPr>
  </w:style>
  <w:style w:type="paragraph" w:styleId="TOC1">
    <w:name w:val="toc 1"/>
    <w:basedOn w:val="Normal"/>
    <w:next w:val="Normal"/>
    <w:autoRedefine/>
    <w:uiPriority w:val="39"/>
    <w:unhideWhenUsed/>
    <w:rsid w:val="006A1B55"/>
    <w:pPr>
      <w:tabs>
        <w:tab w:val="right" w:leader="hyphen" w:pos="9016"/>
      </w:tabs>
      <w:spacing w:after="100"/>
      <w:ind w:left="142"/>
    </w:pPr>
  </w:style>
  <w:style w:type="paragraph" w:styleId="TOC2">
    <w:name w:val="toc 2"/>
    <w:basedOn w:val="Normal"/>
    <w:next w:val="Normal"/>
    <w:autoRedefine/>
    <w:uiPriority w:val="39"/>
    <w:unhideWhenUsed/>
    <w:rsid w:val="00780CAC"/>
    <w:pPr>
      <w:tabs>
        <w:tab w:val="right" w:leader="hyphen" w:pos="9016"/>
      </w:tabs>
      <w:spacing w:after="100"/>
      <w:ind w:left="220" w:hanging="78"/>
    </w:pPr>
  </w:style>
  <w:style w:type="character" w:styleId="FollowedHyperlink">
    <w:name w:val="FollowedHyperlink"/>
    <w:basedOn w:val="DefaultParagraphFont"/>
    <w:uiPriority w:val="99"/>
    <w:semiHidden/>
    <w:unhideWhenUsed/>
    <w:rsid w:val="00CD7318"/>
    <w:rPr>
      <w:color w:val="954F72" w:themeColor="followedHyperlink"/>
      <w:u w:val="single"/>
    </w:rPr>
  </w:style>
  <w:style w:type="character" w:customStyle="1" w:styleId="Heading4Char">
    <w:name w:val="Heading 4 Char"/>
    <w:basedOn w:val="DefaultParagraphFont"/>
    <w:link w:val="Heading4"/>
    <w:uiPriority w:val="9"/>
    <w:semiHidden/>
    <w:rsid w:val="004226C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93C8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93C8D"/>
    <w:rPr>
      <w:rFonts w:asciiTheme="majorHAnsi" w:eastAsiaTheme="majorEastAsia" w:hAnsiTheme="majorHAnsi" w:cstheme="majorBidi"/>
      <w:color w:val="1F4D78" w:themeColor="accent1" w:themeShade="7F"/>
    </w:rPr>
  </w:style>
  <w:style w:type="table" w:customStyle="1" w:styleId="TableGrid4">
    <w:name w:val="Table Grid4"/>
    <w:basedOn w:val="TableNormal"/>
    <w:next w:val="TableGrid"/>
    <w:uiPriority w:val="59"/>
    <w:rsid w:val="00393C8D"/>
    <w:pPr>
      <w:spacing w:after="0" w:line="240" w:lineRule="auto"/>
    </w:pPr>
    <w:rPr>
      <w:rFonts w:ascii="Arial" w:eastAsia="Arial" w:hAnsi="Arial" w:cs="Arial"/>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Normal"/>
    <w:autoRedefine/>
    <w:qFormat/>
    <w:rsid w:val="00713053"/>
    <w:pPr>
      <w:numPr>
        <w:numId w:val="29"/>
      </w:numPr>
      <w:spacing w:before="120" w:after="120"/>
      <w:ind w:left="567" w:right="-125" w:hanging="567"/>
    </w:pPr>
    <w:rPr>
      <w:rFonts w:ascii="Arial" w:eastAsia="Times New Roman" w:hAnsi="Arial" w:cs="Arial"/>
      <w:iCs/>
      <w:sz w:val="24"/>
      <w:szCs w:val="20"/>
      <w:lang w:val="en-AU"/>
    </w:rPr>
  </w:style>
  <w:style w:type="table" w:customStyle="1" w:styleId="TableGrid5">
    <w:name w:val="Table Grid5"/>
    <w:basedOn w:val="TableNormal"/>
    <w:next w:val="TableGrid"/>
    <w:uiPriority w:val="59"/>
    <w:rsid w:val="002577C5"/>
    <w:pPr>
      <w:spacing w:after="0" w:line="240" w:lineRule="auto"/>
    </w:pPr>
    <w:rPr>
      <w:rFonts w:ascii="Arial" w:eastAsia="Arial" w:hAnsi="Arial" w:cs="Arial"/>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6F36ED"/>
    <w:pPr>
      <w:autoSpaceDE w:val="0"/>
      <w:autoSpaceDN w:val="0"/>
    </w:pPr>
    <w:rPr>
      <w:rFonts w:ascii="Times New Roman" w:hAnsi="Times New Roman" w:cs="Times New Roman"/>
      <w:color w:val="000000"/>
      <w:sz w:val="24"/>
      <w:szCs w:val="24"/>
      <w:lang w:eastAsia="en-GB"/>
    </w:rPr>
  </w:style>
  <w:style w:type="character" w:styleId="UnresolvedMention">
    <w:name w:val="Unresolved Mention"/>
    <w:basedOn w:val="DefaultParagraphFont"/>
    <w:uiPriority w:val="99"/>
    <w:semiHidden/>
    <w:unhideWhenUsed/>
    <w:rsid w:val="002840FA"/>
    <w:rPr>
      <w:color w:val="605E5C"/>
      <w:shd w:val="clear" w:color="auto" w:fill="E1DFDD"/>
    </w:rPr>
  </w:style>
  <w:style w:type="paragraph" w:customStyle="1" w:styleId="pf0">
    <w:name w:val="pf0"/>
    <w:basedOn w:val="Normal"/>
    <w:rsid w:val="00CD18E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CD18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0561">
      <w:bodyDiv w:val="1"/>
      <w:marLeft w:val="0"/>
      <w:marRight w:val="0"/>
      <w:marTop w:val="0"/>
      <w:marBottom w:val="0"/>
      <w:divBdr>
        <w:top w:val="none" w:sz="0" w:space="0" w:color="auto"/>
        <w:left w:val="none" w:sz="0" w:space="0" w:color="auto"/>
        <w:bottom w:val="none" w:sz="0" w:space="0" w:color="auto"/>
        <w:right w:val="none" w:sz="0" w:space="0" w:color="auto"/>
      </w:divBdr>
    </w:div>
    <w:div w:id="42171263">
      <w:bodyDiv w:val="1"/>
      <w:marLeft w:val="0"/>
      <w:marRight w:val="0"/>
      <w:marTop w:val="0"/>
      <w:marBottom w:val="0"/>
      <w:divBdr>
        <w:top w:val="none" w:sz="0" w:space="0" w:color="auto"/>
        <w:left w:val="none" w:sz="0" w:space="0" w:color="auto"/>
        <w:bottom w:val="none" w:sz="0" w:space="0" w:color="auto"/>
        <w:right w:val="none" w:sz="0" w:space="0" w:color="auto"/>
      </w:divBdr>
    </w:div>
    <w:div w:id="140850295">
      <w:bodyDiv w:val="1"/>
      <w:marLeft w:val="0"/>
      <w:marRight w:val="0"/>
      <w:marTop w:val="0"/>
      <w:marBottom w:val="0"/>
      <w:divBdr>
        <w:top w:val="none" w:sz="0" w:space="0" w:color="auto"/>
        <w:left w:val="none" w:sz="0" w:space="0" w:color="auto"/>
        <w:bottom w:val="none" w:sz="0" w:space="0" w:color="auto"/>
        <w:right w:val="none" w:sz="0" w:space="0" w:color="auto"/>
      </w:divBdr>
    </w:div>
    <w:div w:id="171535213">
      <w:bodyDiv w:val="1"/>
      <w:marLeft w:val="0"/>
      <w:marRight w:val="0"/>
      <w:marTop w:val="0"/>
      <w:marBottom w:val="0"/>
      <w:divBdr>
        <w:top w:val="none" w:sz="0" w:space="0" w:color="auto"/>
        <w:left w:val="none" w:sz="0" w:space="0" w:color="auto"/>
        <w:bottom w:val="none" w:sz="0" w:space="0" w:color="auto"/>
        <w:right w:val="none" w:sz="0" w:space="0" w:color="auto"/>
      </w:divBdr>
    </w:div>
    <w:div w:id="196741059">
      <w:bodyDiv w:val="1"/>
      <w:marLeft w:val="0"/>
      <w:marRight w:val="0"/>
      <w:marTop w:val="0"/>
      <w:marBottom w:val="0"/>
      <w:divBdr>
        <w:top w:val="none" w:sz="0" w:space="0" w:color="auto"/>
        <w:left w:val="none" w:sz="0" w:space="0" w:color="auto"/>
        <w:bottom w:val="none" w:sz="0" w:space="0" w:color="auto"/>
        <w:right w:val="none" w:sz="0" w:space="0" w:color="auto"/>
      </w:divBdr>
    </w:div>
    <w:div w:id="258216654">
      <w:bodyDiv w:val="1"/>
      <w:marLeft w:val="0"/>
      <w:marRight w:val="0"/>
      <w:marTop w:val="0"/>
      <w:marBottom w:val="0"/>
      <w:divBdr>
        <w:top w:val="none" w:sz="0" w:space="0" w:color="auto"/>
        <w:left w:val="none" w:sz="0" w:space="0" w:color="auto"/>
        <w:bottom w:val="none" w:sz="0" w:space="0" w:color="auto"/>
        <w:right w:val="none" w:sz="0" w:space="0" w:color="auto"/>
      </w:divBdr>
    </w:div>
    <w:div w:id="268584711">
      <w:bodyDiv w:val="1"/>
      <w:marLeft w:val="0"/>
      <w:marRight w:val="0"/>
      <w:marTop w:val="0"/>
      <w:marBottom w:val="0"/>
      <w:divBdr>
        <w:top w:val="none" w:sz="0" w:space="0" w:color="auto"/>
        <w:left w:val="none" w:sz="0" w:space="0" w:color="auto"/>
        <w:bottom w:val="none" w:sz="0" w:space="0" w:color="auto"/>
        <w:right w:val="none" w:sz="0" w:space="0" w:color="auto"/>
      </w:divBdr>
    </w:div>
    <w:div w:id="293757918">
      <w:bodyDiv w:val="1"/>
      <w:marLeft w:val="0"/>
      <w:marRight w:val="0"/>
      <w:marTop w:val="0"/>
      <w:marBottom w:val="0"/>
      <w:divBdr>
        <w:top w:val="none" w:sz="0" w:space="0" w:color="auto"/>
        <w:left w:val="none" w:sz="0" w:space="0" w:color="auto"/>
        <w:bottom w:val="none" w:sz="0" w:space="0" w:color="auto"/>
        <w:right w:val="none" w:sz="0" w:space="0" w:color="auto"/>
      </w:divBdr>
    </w:div>
    <w:div w:id="299462024">
      <w:bodyDiv w:val="1"/>
      <w:marLeft w:val="0"/>
      <w:marRight w:val="0"/>
      <w:marTop w:val="0"/>
      <w:marBottom w:val="0"/>
      <w:divBdr>
        <w:top w:val="none" w:sz="0" w:space="0" w:color="auto"/>
        <w:left w:val="none" w:sz="0" w:space="0" w:color="auto"/>
        <w:bottom w:val="none" w:sz="0" w:space="0" w:color="auto"/>
        <w:right w:val="none" w:sz="0" w:space="0" w:color="auto"/>
      </w:divBdr>
    </w:div>
    <w:div w:id="382485700">
      <w:bodyDiv w:val="1"/>
      <w:marLeft w:val="0"/>
      <w:marRight w:val="0"/>
      <w:marTop w:val="0"/>
      <w:marBottom w:val="0"/>
      <w:divBdr>
        <w:top w:val="none" w:sz="0" w:space="0" w:color="auto"/>
        <w:left w:val="none" w:sz="0" w:space="0" w:color="auto"/>
        <w:bottom w:val="none" w:sz="0" w:space="0" w:color="auto"/>
        <w:right w:val="none" w:sz="0" w:space="0" w:color="auto"/>
      </w:divBdr>
    </w:div>
    <w:div w:id="413168904">
      <w:bodyDiv w:val="1"/>
      <w:marLeft w:val="0"/>
      <w:marRight w:val="0"/>
      <w:marTop w:val="0"/>
      <w:marBottom w:val="0"/>
      <w:divBdr>
        <w:top w:val="none" w:sz="0" w:space="0" w:color="auto"/>
        <w:left w:val="none" w:sz="0" w:space="0" w:color="auto"/>
        <w:bottom w:val="none" w:sz="0" w:space="0" w:color="auto"/>
        <w:right w:val="none" w:sz="0" w:space="0" w:color="auto"/>
      </w:divBdr>
    </w:div>
    <w:div w:id="482744639">
      <w:bodyDiv w:val="1"/>
      <w:marLeft w:val="0"/>
      <w:marRight w:val="0"/>
      <w:marTop w:val="0"/>
      <w:marBottom w:val="0"/>
      <w:divBdr>
        <w:top w:val="none" w:sz="0" w:space="0" w:color="auto"/>
        <w:left w:val="none" w:sz="0" w:space="0" w:color="auto"/>
        <w:bottom w:val="none" w:sz="0" w:space="0" w:color="auto"/>
        <w:right w:val="none" w:sz="0" w:space="0" w:color="auto"/>
      </w:divBdr>
    </w:div>
    <w:div w:id="516894754">
      <w:bodyDiv w:val="1"/>
      <w:marLeft w:val="0"/>
      <w:marRight w:val="0"/>
      <w:marTop w:val="0"/>
      <w:marBottom w:val="0"/>
      <w:divBdr>
        <w:top w:val="none" w:sz="0" w:space="0" w:color="auto"/>
        <w:left w:val="none" w:sz="0" w:space="0" w:color="auto"/>
        <w:bottom w:val="none" w:sz="0" w:space="0" w:color="auto"/>
        <w:right w:val="none" w:sz="0" w:space="0" w:color="auto"/>
      </w:divBdr>
    </w:div>
    <w:div w:id="650410044">
      <w:bodyDiv w:val="1"/>
      <w:marLeft w:val="0"/>
      <w:marRight w:val="0"/>
      <w:marTop w:val="0"/>
      <w:marBottom w:val="0"/>
      <w:divBdr>
        <w:top w:val="none" w:sz="0" w:space="0" w:color="auto"/>
        <w:left w:val="none" w:sz="0" w:space="0" w:color="auto"/>
        <w:bottom w:val="none" w:sz="0" w:space="0" w:color="auto"/>
        <w:right w:val="none" w:sz="0" w:space="0" w:color="auto"/>
      </w:divBdr>
    </w:div>
    <w:div w:id="662005517">
      <w:bodyDiv w:val="1"/>
      <w:marLeft w:val="0"/>
      <w:marRight w:val="0"/>
      <w:marTop w:val="0"/>
      <w:marBottom w:val="0"/>
      <w:divBdr>
        <w:top w:val="none" w:sz="0" w:space="0" w:color="auto"/>
        <w:left w:val="none" w:sz="0" w:space="0" w:color="auto"/>
        <w:bottom w:val="none" w:sz="0" w:space="0" w:color="auto"/>
        <w:right w:val="none" w:sz="0" w:space="0" w:color="auto"/>
      </w:divBdr>
    </w:div>
    <w:div w:id="755828958">
      <w:bodyDiv w:val="1"/>
      <w:marLeft w:val="0"/>
      <w:marRight w:val="0"/>
      <w:marTop w:val="0"/>
      <w:marBottom w:val="0"/>
      <w:divBdr>
        <w:top w:val="none" w:sz="0" w:space="0" w:color="auto"/>
        <w:left w:val="none" w:sz="0" w:space="0" w:color="auto"/>
        <w:bottom w:val="none" w:sz="0" w:space="0" w:color="auto"/>
        <w:right w:val="none" w:sz="0" w:space="0" w:color="auto"/>
      </w:divBdr>
    </w:div>
    <w:div w:id="783233187">
      <w:bodyDiv w:val="1"/>
      <w:marLeft w:val="0"/>
      <w:marRight w:val="0"/>
      <w:marTop w:val="0"/>
      <w:marBottom w:val="0"/>
      <w:divBdr>
        <w:top w:val="none" w:sz="0" w:space="0" w:color="auto"/>
        <w:left w:val="none" w:sz="0" w:space="0" w:color="auto"/>
        <w:bottom w:val="none" w:sz="0" w:space="0" w:color="auto"/>
        <w:right w:val="none" w:sz="0" w:space="0" w:color="auto"/>
      </w:divBdr>
    </w:div>
    <w:div w:id="803352452">
      <w:bodyDiv w:val="1"/>
      <w:marLeft w:val="0"/>
      <w:marRight w:val="0"/>
      <w:marTop w:val="0"/>
      <w:marBottom w:val="0"/>
      <w:divBdr>
        <w:top w:val="none" w:sz="0" w:space="0" w:color="auto"/>
        <w:left w:val="none" w:sz="0" w:space="0" w:color="auto"/>
        <w:bottom w:val="none" w:sz="0" w:space="0" w:color="auto"/>
        <w:right w:val="none" w:sz="0" w:space="0" w:color="auto"/>
      </w:divBdr>
    </w:div>
    <w:div w:id="818110267">
      <w:bodyDiv w:val="1"/>
      <w:marLeft w:val="0"/>
      <w:marRight w:val="0"/>
      <w:marTop w:val="0"/>
      <w:marBottom w:val="0"/>
      <w:divBdr>
        <w:top w:val="none" w:sz="0" w:space="0" w:color="auto"/>
        <w:left w:val="none" w:sz="0" w:space="0" w:color="auto"/>
        <w:bottom w:val="none" w:sz="0" w:space="0" w:color="auto"/>
        <w:right w:val="none" w:sz="0" w:space="0" w:color="auto"/>
      </w:divBdr>
    </w:div>
    <w:div w:id="858857730">
      <w:bodyDiv w:val="1"/>
      <w:marLeft w:val="0"/>
      <w:marRight w:val="0"/>
      <w:marTop w:val="0"/>
      <w:marBottom w:val="0"/>
      <w:divBdr>
        <w:top w:val="none" w:sz="0" w:space="0" w:color="auto"/>
        <w:left w:val="none" w:sz="0" w:space="0" w:color="auto"/>
        <w:bottom w:val="none" w:sz="0" w:space="0" w:color="auto"/>
        <w:right w:val="none" w:sz="0" w:space="0" w:color="auto"/>
      </w:divBdr>
    </w:div>
    <w:div w:id="891886715">
      <w:bodyDiv w:val="1"/>
      <w:marLeft w:val="0"/>
      <w:marRight w:val="0"/>
      <w:marTop w:val="0"/>
      <w:marBottom w:val="0"/>
      <w:divBdr>
        <w:top w:val="none" w:sz="0" w:space="0" w:color="auto"/>
        <w:left w:val="none" w:sz="0" w:space="0" w:color="auto"/>
        <w:bottom w:val="none" w:sz="0" w:space="0" w:color="auto"/>
        <w:right w:val="none" w:sz="0" w:space="0" w:color="auto"/>
      </w:divBdr>
    </w:div>
    <w:div w:id="917910140">
      <w:bodyDiv w:val="1"/>
      <w:marLeft w:val="0"/>
      <w:marRight w:val="0"/>
      <w:marTop w:val="0"/>
      <w:marBottom w:val="0"/>
      <w:divBdr>
        <w:top w:val="none" w:sz="0" w:space="0" w:color="auto"/>
        <w:left w:val="none" w:sz="0" w:space="0" w:color="auto"/>
        <w:bottom w:val="none" w:sz="0" w:space="0" w:color="auto"/>
        <w:right w:val="none" w:sz="0" w:space="0" w:color="auto"/>
      </w:divBdr>
    </w:div>
    <w:div w:id="940717712">
      <w:bodyDiv w:val="1"/>
      <w:marLeft w:val="0"/>
      <w:marRight w:val="0"/>
      <w:marTop w:val="0"/>
      <w:marBottom w:val="0"/>
      <w:divBdr>
        <w:top w:val="none" w:sz="0" w:space="0" w:color="auto"/>
        <w:left w:val="none" w:sz="0" w:space="0" w:color="auto"/>
        <w:bottom w:val="none" w:sz="0" w:space="0" w:color="auto"/>
        <w:right w:val="none" w:sz="0" w:space="0" w:color="auto"/>
      </w:divBdr>
    </w:div>
    <w:div w:id="959190649">
      <w:bodyDiv w:val="1"/>
      <w:marLeft w:val="0"/>
      <w:marRight w:val="0"/>
      <w:marTop w:val="0"/>
      <w:marBottom w:val="0"/>
      <w:divBdr>
        <w:top w:val="none" w:sz="0" w:space="0" w:color="auto"/>
        <w:left w:val="none" w:sz="0" w:space="0" w:color="auto"/>
        <w:bottom w:val="none" w:sz="0" w:space="0" w:color="auto"/>
        <w:right w:val="none" w:sz="0" w:space="0" w:color="auto"/>
      </w:divBdr>
    </w:div>
    <w:div w:id="978653019">
      <w:bodyDiv w:val="1"/>
      <w:marLeft w:val="0"/>
      <w:marRight w:val="0"/>
      <w:marTop w:val="0"/>
      <w:marBottom w:val="0"/>
      <w:divBdr>
        <w:top w:val="none" w:sz="0" w:space="0" w:color="auto"/>
        <w:left w:val="none" w:sz="0" w:space="0" w:color="auto"/>
        <w:bottom w:val="none" w:sz="0" w:space="0" w:color="auto"/>
        <w:right w:val="none" w:sz="0" w:space="0" w:color="auto"/>
      </w:divBdr>
    </w:div>
    <w:div w:id="979697986">
      <w:bodyDiv w:val="1"/>
      <w:marLeft w:val="0"/>
      <w:marRight w:val="0"/>
      <w:marTop w:val="0"/>
      <w:marBottom w:val="0"/>
      <w:divBdr>
        <w:top w:val="none" w:sz="0" w:space="0" w:color="auto"/>
        <w:left w:val="none" w:sz="0" w:space="0" w:color="auto"/>
        <w:bottom w:val="none" w:sz="0" w:space="0" w:color="auto"/>
        <w:right w:val="none" w:sz="0" w:space="0" w:color="auto"/>
      </w:divBdr>
    </w:div>
    <w:div w:id="994528941">
      <w:bodyDiv w:val="1"/>
      <w:marLeft w:val="0"/>
      <w:marRight w:val="0"/>
      <w:marTop w:val="0"/>
      <w:marBottom w:val="0"/>
      <w:divBdr>
        <w:top w:val="none" w:sz="0" w:space="0" w:color="auto"/>
        <w:left w:val="none" w:sz="0" w:space="0" w:color="auto"/>
        <w:bottom w:val="none" w:sz="0" w:space="0" w:color="auto"/>
        <w:right w:val="none" w:sz="0" w:space="0" w:color="auto"/>
      </w:divBdr>
    </w:div>
    <w:div w:id="1019550835">
      <w:bodyDiv w:val="1"/>
      <w:marLeft w:val="0"/>
      <w:marRight w:val="0"/>
      <w:marTop w:val="0"/>
      <w:marBottom w:val="0"/>
      <w:divBdr>
        <w:top w:val="none" w:sz="0" w:space="0" w:color="auto"/>
        <w:left w:val="none" w:sz="0" w:space="0" w:color="auto"/>
        <w:bottom w:val="none" w:sz="0" w:space="0" w:color="auto"/>
        <w:right w:val="none" w:sz="0" w:space="0" w:color="auto"/>
      </w:divBdr>
    </w:div>
    <w:div w:id="1053773599">
      <w:bodyDiv w:val="1"/>
      <w:marLeft w:val="0"/>
      <w:marRight w:val="0"/>
      <w:marTop w:val="0"/>
      <w:marBottom w:val="0"/>
      <w:divBdr>
        <w:top w:val="none" w:sz="0" w:space="0" w:color="auto"/>
        <w:left w:val="none" w:sz="0" w:space="0" w:color="auto"/>
        <w:bottom w:val="none" w:sz="0" w:space="0" w:color="auto"/>
        <w:right w:val="none" w:sz="0" w:space="0" w:color="auto"/>
      </w:divBdr>
    </w:div>
    <w:div w:id="1131946987">
      <w:bodyDiv w:val="1"/>
      <w:marLeft w:val="0"/>
      <w:marRight w:val="0"/>
      <w:marTop w:val="0"/>
      <w:marBottom w:val="0"/>
      <w:divBdr>
        <w:top w:val="none" w:sz="0" w:space="0" w:color="auto"/>
        <w:left w:val="none" w:sz="0" w:space="0" w:color="auto"/>
        <w:bottom w:val="none" w:sz="0" w:space="0" w:color="auto"/>
        <w:right w:val="none" w:sz="0" w:space="0" w:color="auto"/>
      </w:divBdr>
    </w:div>
    <w:div w:id="1156460515">
      <w:bodyDiv w:val="1"/>
      <w:marLeft w:val="0"/>
      <w:marRight w:val="0"/>
      <w:marTop w:val="0"/>
      <w:marBottom w:val="0"/>
      <w:divBdr>
        <w:top w:val="none" w:sz="0" w:space="0" w:color="auto"/>
        <w:left w:val="none" w:sz="0" w:space="0" w:color="auto"/>
        <w:bottom w:val="none" w:sz="0" w:space="0" w:color="auto"/>
        <w:right w:val="none" w:sz="0" w:space="0" w:color="auto"/>
      </w:divBdr>
    </w:div>
    <w:div w:id="1243485713">
      <w:bodyDiv w:val="1"/>
      <w:marLeft w:val="0"/>
      <w:marRight w:val="0"/>
      <w:marTop w:val="0"/>
      <w:marBottom w:val="0"/>
      <w:divBdr>
        <w:top w:val="none" w:sz="0" w:space="0" w:color="auto"/>
        <w:left w:val="none" w:sz="0" w:space="0" w:color="auto"/>
        <w:bottom w:val="none" w:sz="0" w:space="0" w:color="auto"/>
        <w:right w:val="none" w:sz="0" w:space="0" w:color="auto"/>
      </w:divBdr>
    </w:div>
    <w:div w:id="1244605583">
      <w:bodyDiv w:val="1"/>
      <w:marLeft w:val="0"/>
      <w:marRight w:val="0"/>
      <w:marTop w:val="0"/>
      <w:marBottom w:val="0"/>
      <w:divBdr>
        <w:top w:val="none" w:sz="0" w:space="0" w:color="auto"/>
        <w:left w:val="none" w:sz="0" w:space="0" w:color="auto"/>
        <w:bottom w:val="none" w:sz="0" w:space="0" w:color="auto"/>
        <w:right w:val="none" w:sz="0" w:space="0" w:color="auto"/>
      </w:divBdr>
    </w:div>
    <w:div w:id="1294406318">
      <w:bodyDiv w:val="1"/>
      <w:marLeft w:val="0"/>
      <w:marRight w:val="0"/>
      <w:marTop w:val="0"/>
      <w:marBottom w:val="0"/>
      <w:divBdr>
        <w:top w:val="none" w:sz="0" w:space="0" w:color="auto"/>
        <w:left w:val="none" w:sz="0" w:space="0" w:color="auto"/>
        <w:bottom w:val="none" w:sz="0" w:space="0" w:color="auto"/>
        <w:right w:val="none" w:sz="0" w:space="0" w:color="auto"/>
      </w:divBdr>
    </w:div>
    <w:div w:id="1469589927">
      <w:bodyDiv w:val="1"/>
      <w:marLeft w:val="0"/>
      <w:marRight w:val="0"/>
      <w:marTop w:val="0"/>
      <w:marBottom w:val="0"/>
      <w:divBdr>
        <w:top w:val="none" w:sz="0" w:space="0" w:color="auto"/>
        <w:left w:val="none" w:sz="0" w:space="0" w:color="auto"/>
        <w:bottom w:val="none" w:sz="0" w:space="0" w:color="auto"/>
        <w:right w:val="none" w:sz="0" w:space="0" w:color="auto"/>
      </w:divBdr>
    </w:div>
    <w:div w:id="1472286519">
      <w:bodyDiv w:val="1"/>
      <w:marLeft w:val="0"/>
      <w:marRight w:val="0"/>
      <w:marTop w:val="0"/>
      <w:marBottom w:val="0"/>
      <w:divBdr>
        <w:top w:val="none" w:sz="0" w:space="0" w:color="auto"/>
        <w:left w:val="none" w:sz="0" w:space="0" w:color="auto"/>
        <w:bottom w:val="none" w:sz="0" w:space="0" w:color="auto"/>
        <w:right w:val="none" w:sz="0" w:space="0" w:color="auto"/>
      </w:divBdr>
    </w:div>
    <w:div w:id="1492677594">
      <w:bodyDiv w:val="1"/>
      <w:marLeft w:val="0"/>
      <w:marRight w:val="0"/>
      <w:marTop w:val="0"/>
      <w:marBottom w:val="0"/>
      <w:divBdr>
        <w:top w:val="none" w:sz="0" w:space="0" w:color="auto"/>
        <w:left w:val="none" w:sz="0" w:space="0" w:color="auto"/>
        <w:bottom w:val="none" w:sz="0" w:space="0" w:color="auto"/>
        <w:right w:val="none" w:sz="0" w:space="0" w:color="auto"/>
      </w:divBdr>
    </w:div>
    <w:div w:id="1511675808">
      <w:bodyDiv w:val="1"/>
      <w:marLeft w:val="0"/>
      <w:marRight w:val="0"/>
      <w:marTop w:val="0"/>
      <w:marBottom w:val="0"/>
      <w:divBdr>
        <w:top w:val="none" w:sz="0" w:space="0" w:color="auto"/>
        <w:left w:val="none" w:sz="0" w:space="0" w:color="auto"/>
        <w:bottom w:val="none" w:sz="0" w:space="0" w:color="auto"/>
        <w:right w:val="none" w:sz="0" w:space="0" w:color="auto"/>
      </w:divBdr>
    </w:div>
    <w:div w:id="1536843232">
      <w:bodyDiv w:val="1"/>
      <w:marLeft w:val="0"/>
      <w:marRight w:val="0"/>
      <w:marTop w:val="0"/>
      <w:marBottom w:val="0"/>
      <w:divBdr>
        <w:top w:val="none" w:sz="0" w:space="0" w:color="auto"/>
        <w:left w:val="none" w:sz="0" w:space="0" w:color="auto"/>
        <w:bottom w:val="none" w:sz="0" w:space="0" w:color="auto"/>
        <w:right w:val="none" w:sz="0" w:space="0" w:color="auto"/>
      </w:divBdr>
    </w:div>
    <w:div w:id="1704673412">
      <w:bodyDiv w:val="1"/>
      <w:marLeft w:val="0"/>
      <w:marRight w:val="0"/>
      <w:marTop w:val="0"/>
      <w:marBottom w:val="0"/>
      <w:divBdr>
        <w:top w:val="none" w:sz="0" w:space="0" w:color="auto"/>
        <w:left w:val="none" w:sz="0" w:space="0" w:color="auto"/>
        <w:bottom w:val="none" w:sz="0" w:space="0" w:color="auto"/>
        <w:right w:val="none" w:sz="0" w:space="0" w:color="auto"/>
      </w:divBdr>
    </w:div>
    <w:div w:id="1727678568">
      <w:bodyDiv w:val="1"/>
      <w:marLeft w:val="0"/>
      <w:marRight w:val="0"/>
      <w:marTop w:val="0"/>
      <w:marBottom w:val="0"/>
      <w:divBdr>
        <w:top w:val="none" w:sz="0" w:space="0" w:color="auto"/>
        <w:left w:val="none" w:sz="0" w:space="0" w:color="auto"/>
        <w:bottom w:val="none" w:sz="0" w:space="0" w:color="auto"/>
        <w:right w:val="none" w:sz="0" w:space="0" w:color="auto"/>
      </w:divBdr>
    </w:div>
    <w:div w:id="1732389318">
      <w:bodyDiv w:val="1"/>
      <w:marLeft w:val="0"/>
      <w:marRight w:val="0"/>
      <w:marTop w:val="0"/>
      <w:marBottom w:val="0"/>
      <w:divBdr>
        <w:top w:val="none" w:sz="0" w:space="0" w:color="auto"/>
        <w:left w:val="none" w:sz="0" w:space="0" w:color="auto"/>
        <w:bottom w:val="none" w:sz="0" w:space="0" w:color="auto"/>
        <w:right w:val="none" w:sz="0" w:space="0" w:color="auto"/>
      </w:divBdr>
    </w:div>
    <w:div w:id="1747146687">
      <w:bodyDiv w:val="1"/>
      <w:marLeft w:val="0"/>
      <w:marRight w:val="0"/>
      <w:marTop w:val="0"/>
      <w:marBottom w:val="0"/>
      <w:divBdr>
        <w:top w:val="none" w:sz="0" w:space="0" w:color="auto"/>
        <w:left w:val="none" w:sz="0" w:space="0" w:color="auto"/>
        <w:bottom w:val="none" w:sz="0" w:space="0" w:color="auto"/>
        <w:right w:val="none" w:sz="0" w:space="0" w:color="auto"/>
      </w:divBdr>
    </w:div>
    <w:div w:id="1764182139">
      <w:bodyDiv w:val="1"/>
      <w:marLeft w:val="0"/>
      <w:marRight w:val="0"/>
      <w:marTop w:val="0"/>
      <w:marBottom w:val="0"/>
      <w:divBdr>
        <w:top w:val="none" w:sz="0" w:space="0" w:color="auto"/>
        <w:left w:val="none" w:sz="0" w:space="0" w:color="auto"/>
        <w:bottom w:val="none" w:sz="0" w:space="0" w:color="auto"/>
        <w:right w:val="none" w:sz="0" w:space="0" w:color="auto"/>
      </w:divBdr>
    </w:div>
    <w:div w:id="1768766927">
      <w:bodyDiv w:val="1"/>
      <w:marLeft w:val="0"/>
      <w:marRight w:val="0"/>
      <w:marTop w:val="0"/>
      <w:marBottom w:val="0"/>
      <w:divBdr>
        <w:top w:val="none" w:sz="0" w:space="0" w:color="auto"/>
        <w:left w:val="none" w:sz="0" w:space="0" w:color="auto"/>
        <w:bottom w:val="none" w:sz="0" w:space="0" w:color="auto"/>
        <w:right w:val="none" w:sz="0" w:space="0" w:color="auto"/>
      </w:divBdr>
    </w:div>
    <w:div w:id="1825510522">
      <w:bodyDiv w:val="1"/>
      <w:marLeft w:val="0"/>
      <w:marRight w:val="0"/>
      <w:marTop w:val="0"/>
      <w:marBottom w:val="0"/>
      <w:divBdr>
        <w:top w:val="none" w:sz="0" w:space="0" w:color="auto"/>
        <w:left w:val="none" w:sz="0" w:space="0" w:color="auto"/>
        <w:bottom w:val="none" w:sz="0" w:space="0" w:color="auto"/>
        <w:right w:val="none" w:sz="0" w:space="0" w:color="auto"/>
      </w:divBdr>
    </w:div>
    <w:div w:id="1889797903">
      <w:bodyDiv w:val="1"/>
      <w:marLeft w:val="0"/>
      <w:marRight w:val="0"/>
      <w:marTop w:val="0"/>
      <w:marBottom w:val="0"/>
      <w:divBdr>
        <w:top w:val="none" w:sz="0" w:space="0" w:color="auto"/>
        <w:left w:val="none" w:sz="0" w:space="0" w:color="auto"/>
        <w:bottom w:val="none" w:sz="0" w:space="0" w:color="auto"/>
        <w:right w:val="none" w:sz="0" w:space="0" w:color="auto"/>
      </w:divBdr>
    </w:div>
    <w:div w:id="1901938480">
      <w:bodyDiv w:val="1"/>
      <w:marLeft w:val="0"/>
      <w:marRight w:val="0"/>
      <w:marTop w:val="0"/>
      <w:marBottom w:val="0"/>
      <w:divBdr>
        <w:top w:val="none" w:sz="0" w:space="0" w:color="auto"/>
        <w:left w:val="none" w:sz="0" w:space="0" w:color="auto"/>
        <w:bottom w:val="none" w:sz="0" w:space="0" w:color="auto"/>
        <w:right w:val="none" w:sz="0" w:space="0" w:color="auto"/>
      </w:divBdr>
    </w:div>
    <w:div w:id="1914579700">
      <w:bodyDiv w:val="1"/>
      <w:marLeft w:val="0"/>
      <w:marRight w:val="0"/>
      <w:marTop w:val="0"/>
      <w:marBottom w:val="0"/>
      <w:divBdr>
        <w:top w:val="none" w:sz="0" w:space="0" w:color="auto"/>
        <w:left w:val="none" w:sz="0" w:space="0" w:color="auto"/>
        <w:bottom w:val="none" w:sz="0" w:space="0" w:color="auto"/>
        <w:right w:val="none" w:sz="0" w:space="0" w:color="auto"/>
      </w:divBdr>
    </w:div>
    <w:div w:id="1942835636">
      <w:bodyDiv w:val="1"/>
      <w:marLeft w:val="0"/>
      <w:marRight w:val="0"/>
      <w:marTop w:val="0"/>
      <w:marBottom w:val="0"/>
      <w:divBdr>
        <w:top w:val="none" w:sz="0" w:space="0" w:color="auto"/>
        <w:left w:val="none" w:sz="0" w:space="0" w:color="auto"/>
        <w:bottom w:val="none" w:sz="0" w:space="0" w:color="auto"/>
        <w:right w:val="none" w:sz="0" w:space="0" w:color="auto"/>
      </w:divBdr>
    </w:div>
    <w:div w:id="2051220250">
      <w:bodyDiv w:val="1"/>
      <w:marLeft w:val="0"/>
      <w:marRight w:val="0"/>
      <w:marTop w:val="0"/>
      <w:marBottom w:val="0"/>
      <w:divBdr>
        <w:top w:val="none" w:sz="0" w:space="0" w:color="auto"/>
        <w:left w:val="none" w:sz="0" w:space="0" w:color="auto"/>
        <w:bottom w:val="none" w:sz="0" w:space="0" w:color="auto"/>
        <w:right w:val="none" w:sz="0" w:space="0" w:color="auto"/>
      </w:divBdr>
    </w:div>
    <w:div w:id="2053070583">
      <w:bodyDiv w:val="1"/>
      <w:marLeft w:val="0"/>
      <w:marRight w:val="0"/>
      <w:marTop w:val="0"/>
      <w:marBottom w:val="0"/>
      <w:divBdr>
        <w:top w:val="none" w:sz="0" w:space="0" w:color="auto"/>
        <w:left w:val="none" w:sz="0" w:space="0" w:color="auto"/>
        <w:bottom w:val="none" w:sz="0" w:space="0" w:color="auto"/>
        <w:right w:val="none" w:sz="0" w:space="0" w:color="auto"/>
      </w:divBdr>
    </w:div>
    <w:div w:id="2064668716">
      <w:bodyDiv w:val="1"/>
      <w:marLeft w:val="0"/>
      <w:marRight w:val="0"/>
      <w:marTop w:val="0"/>
      <w:marBottom w:val="0"/>
      <w:divBdr>
        <w:top w:val="none" w:sz="0" w:space="0" w:color="auto"/>
        <w:left w:val="none" w:sz="0" w:space="0" w:color="auto"/>
        <w:bottom w:val="none" w:sz="0" w:space="0" w:color="auto"/>
        <w:right w:val="none" w:sz="0" w:space="0" w:color="auto"/>
      </w:divBdr>
    </w:div>
    <w:div w:id="2080325961">
      <w:bodyDiv w:val="1"/>
      <w:marLeft w:val="0"/>
      <w:marRight w:val="0"/>
      <w:marTop w:val="0"/>
      <w:marBottom w:val="0"/>
      <w:divBdr>
        <w:top w:val="none" w:sz="0" w:space="0" w:color="auto"/>
        <w:left w:val="none" w:sz="0" w:space="0" w:color="auto"/>
        <w:bottom w:val="none" w:sz="0" w:space="0" w:color="auto"/>
        <w:right w:val="none" w:sz="0" w:space="0" w:color="auto"/>
      </w:divBdr>
    </w:div>
    <w:div w:id="21079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gov.uk/government/collections/minerals" TargetMode="External"/><Relationship Id="rId26" Type="http://schemas.openxmlformats.org/officeDocument/2006/relationships/hyperlink" Target="https://iawpad.doncaster.gov.uk/PublicAccess_LIVE/Document/ViewDocument?id=5E92AFCB6BA211EB9AE2A4C3F07CFCCB%20" TargetMode="External"/><Relationship Id="rId3" Type="http://schemas.openxmlformats.org/officeDocument/2006/relationships/customXml" Target="../customXml/item3.xml"/><Relationship Id="rId21" Type="http://schemas.openxmlformats.org/officeDocument/2006/relationships/hyperlink" Target="https://www.doncaster.gov.uk/services/planning/barnsley-doncaster-rotherham-joint-waste-pla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ncaster.gov.uk/services/planning/monitoring-and-implementation"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oderngov.rotherham.gov.uk/documents/s142904/Appendix%201%20-%20Joint%20Statement%20of%20Common%20Ground.pdf" TargetMode="External"/><Relationship Id="rId20" Type="http://schemas.openxmlformats.org/officeDocument/2006/relationships/hyperlink" Target="http://www.doncaster.gov.uk/sections/planningandbuildings/localdevelopmentframework/Barnsley_Doncaster_and_Rotherham_Joint_Waste_Plan.aspx" TargetMode="External"/><Relationship Id="rId29" Type="http://schemas.openxmlformats.org/officeDocument/2006/relationships/hyperlink" Target="https://www.bradford.gov.uk/media/7243/local-plan-authorities-monitoring-report-2019-20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oncaster.gov.uk/services/planning/local-plan" TargetMode="External"/><Relationship Id="rId23" Type="http://schemas.openxmlformats.org/officeDocument/2006/relationships/header" Target="header1.xml"/><Relationship Id="rId28" Type="http://schemas.openxmlformats.org/officeDocument/2006/relationships/hyperlink" Target="https://www.gov.uk/government/collections/minerals" TargetMode="External"/><Relationship Id="rId10" Type="http://schemas.openxmlformats.org/officeDocument/2006/relationships/endnotes" Target="endnotes.xml"/><Relationship Id="rId19" Type="http://schemas.openxmlformats.org/officeDocument/2006/relationships/hyperlink" Target="https://www.doncaster.gov.uk/services/planning/monitoring-and-implementation" TargetMode="External"/><Relationship Id="rId31" Type="http://schemas.openxmlformats.org/officeDocument/2006/relationships/hyperlink" Target="https://www.kirklees.gov.uk/beta/planning-policy/annual-monitoring-repor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minerals" TargetMode="External"/><Relationship Id="rId22" Type="http://schemas.openxmlformats.org/officeDocument/2006/relationships/hyperlink" Target="https://www.doncaster.gov.uk/services/planning/planning-policy-background-documents-transport-infrastructure-and-viability" TargetMode="External"/><Relationship Id="rId27" Type="http://schemas.openxmlformats.org/officeDocument/2006/relationships/image" Target="media/image4.png"/><Relationship Id="rId30" Type="http://schemas.openxmlformats.org/officeDocument/2006/relationships/hyperlink" Target="https://www.leeds.gov.uk/docs/Authority%20Monitoring%20Report%202019-2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localplan@donca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76fb24-50fa-4d15-b76d-f7ce70912964">
      <Terms xmlns="http://schemas.microsoft.com/office/infopath/2007/PartnerControls"/>
    </lcf76f155ced4ddcb4097134ff3c332f>
    <TaxCatchAll xmlns="524c88d7-6562-4679-bd98-13164a2cb8e5" xsi:nil="true"/>
    <File_x0020_type0 xmlns="ac76fb24-50fa-4d15-b76d-f7ce70912964">NA</File_x0020_type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564D91579A384E867E7EA00ACD58C4" ma:contentTypeVersion="16" ma:contentTypeDescription="Create a new document." ma:contentTypeScope="" ma:versionID="6dfa06d93c2068713dca6abeda53dc6c">
  <xsd:schema xmlns:xsd="http://www.w3.org/2001/XMLSchema" xmlns:xs="http://www.w3.org/2001/XMLSchema" xmlns:p="http://schemas.microsoft.com/office/2006/metadata/properties" xmlns:ns2="ac76fb24-50fa-4d15-b76d-f7ce70912964" xmlns:ns3="524c88d7-6562-4679-bd98-13164a2cb8e5" targetNamespace="http://schemas.microsoft.com/office/2006/metadata/properties" ma:root="true" ma:fieldsID="0bfc186cfd0a13c36799521037abcdc9" ns2:_="" ns3:_="">
    <xsd:import namespace="ac76fb24-50fa-4d15-b76d-f7ce70912964"/>
    <xsd:import namespace="524c88d7-6562-4679-bd98-13164a2cb8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element ref="ns2:File_x0020_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6fb24-50fa-4d15-b76d-f7ce7091296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6c40f8d-8524-4845-a2fc-30090feebe3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ile_x0020_type0" ma:index="23" nillable="true" ma:displayName="File type" ma:internalName="File_x0020_type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4c88d7-6562-4679-bd98-13164a2cb8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2f16fb-cd70-4d83-b4b5-53154c13bcdd}" ma:internalName="TaxCatchAll" ma:showField="CatchAllData" ma:web="524c88d7-6562-4679-bd98-13164a2cb8e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2985F-6831-4D85-BC29-67A3BF4D7116}">
  <ds:schemaRefs>
    <ds:schemaRef ds:uri="http://schemas.microsoft.com/sharepoint/v3/contenttype/forms"/>
  </ds:schemaRefs>
</ds:datastoreItem>
</file>

<file path=customXml/itemProps2.xml><?xml version="1.0" encoding="utf-8"?>
<ds:datastoreItem xmlns:ds="http://schemas.openxmlformats.org/officeDocument/2006/customXml" ds:itemID="{95357517-18C0-496F-AD1F-DF854BF6E3DA}">
  <ds:schemaRefs>
    <ds:schemaRef ds:uri="http://schemas.microsoft.com/office/2006/metadata/properties"/>
    <ds:schemaRef ds:uri="http://schemas.microsoft.com/office/infopath/2007/PartnerControls"/>
    <ds:schemaRef ds:uri="ac76fb24-50fa-4d15-b76d-f7ce70912964"/>
    <ds:schemaRef ds:uri="524c88d7-6562-4679-bd98-13164a2cb8e5"/>
  </ds:schemaRefs>
</ds:datastoreItem>
</file>

<file path=customXml/itemProps3.xml><?xml version="1.0" encoding="utf-8"?>
<ds:datastoreItem xmlns:ds="http://schemas.openxmlformats.org/officeDocument/2006/customXml" ds:itemID="{55320EA2-CE51-4DC4-99E9-D6BC45994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6fb24-50fa-4d15-b76d-f7ce70912964"/>
    <ds:schemaRef ds:uri="524c88d7-6562-4679-bd98-13164a2cb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39D9B-52C6-4634-922E-420DE6F4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37</Pages>
  <Words>10653</Words>
  <Characters>60726</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71237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McCluskie, Helen</dc:creator>
  <cp:lastModifiedBy>McCluskie, Helen</cp:lastModifiedBy>
  <cp:revision>342</cp:revision>
  <cp:lastPrinted>2025-05-19T11:31:00Z</cp:lastPrinted>
  <dcterms:created xsi:type="dcterms:W3CDTF">2025-01-22T12:14:00Z</dcterms:created>
  <dcterms:modified xsi:type="dcterms:W3CDTF">2025-05-19T11:32:00Z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0x01010094564D91579A384E867E7EA00ACD58C4</vt:lpwstr>
  </property>
  <property fmtid="{D5CDD505-2E9C-101B-9397-08002B2CF9AE}" pid="3" name="Order">
    <vt:r8>73692600</vt:r8>
  </property>
  <property fmtid="{D5CDD505-2E9C-101B-9397-08002B2CF9AE}" pid="4" name="MediaServiceImageTags">
    <vt:lpwstr/>
  </property>
</Properties>
</file>