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DF10C" w14:textId="77777777" w:rsidR="00801198" w:rsidRPr="00916957" w:rsidRDefault="00801198" w:rsidP="00097103">
      <w:pPr>
        <w:pStyle w:val="BodyText"/>
        <w:ind w:right="-31"/>
        <w:rPr>
          <w:sz w:val="20"/>
        </w:rPr>
      </w:pPr>
    </w:p>
    <w:p w14:paraId="655DF10D" w14:textId="77777777" w:rsidR="00801198" w:rsidRPr="00916957" w:rsidRDefault="00801198" w:rsidP="00097103">
      <w:pPr>
        <w:pStyle w:val="BodyText"/>
        <w:ind w:right="-31"/>
        <w:rPr>
          <w:sz w:val="20"/>
        </w:rPr>
      </w:pPr>
    </w:p>
    <w:p w14:paraId="655DF10E" w14:textId="77777777" w:rsidR="00801198" w:rsidRPr="00916957" w:rsidRDefault="00801198" w:rsidP="00097103">
      <w:pPr>
        <w:pStyle w:val="BodyText"/>
        <w:ind w:right="-31"/>
        <w:rPr>
          <w:sz w:val="20"/>
        </w:rPr>
      </w:pPr>
    </w:p>
    <w:p w14:paraId="655DF10F" w14:textId="77777777" w:rsidR="00801198" w:rsidRPr="00916957" w:rsidRDefault="00801198" w:rsidP="00097103">
      <w:pPr>
        <w:pStyle w:val="BodyText"/>
        <w:ind w:right="-31"/>
        <w:rPr>
          <w:sz w:val="20"/>
        </w:rPr>
      </w:pPr>
    </w:p>
    <w:p w14:paraId="655DF110" w14:textId="77777777" w:rsidR="00801198" w:rsidRPr="00916957" w:rsidRDefault="00801198" w:rsidP="00097103">
      <w:pPr>
        <w:pStyle w:val="BodyText"/>
        <w:ind w:right="-31"/>
        <w:rPr>
          <w:sz w:val="20"/>
        </w:rPr>
      </w:pPr>
    </w:p>
    <w:p w14:paraId="655DF111" w14:textId="77777777" w:rsidR="00801198" w:rsidRPr="00916957" w:rsidRDefault="00801198" w:rsidP="00097103">
      <w:pPr>
        <w:pStyle w:val="BodyText"/>
        <w:ind w:right="-31"/>
        <w:rPr>
          <w:sz w:val="20"/>
        </w:rPr>
      </w:pPr>
    </w:p>
    <w:p w14:paraId="655DF112" w14:textId="77777777" w:rsidR="00801198" w:rsidRPr="00916957" w:rsidRDefault="00801198" w:rsidP="00097103">
      <w:pPr>
        <w:pStyle w:val="BodyText"/>
        <w:ind w:right="-31"/>
        <w:rPr>
          <w:sz w:val="20"/>
        </w:rPr>
      </w:pPr>
    </w:p>
    <w:p w14:paraId="655DF113" w14:textId="77777777" w:rsidR="00801198" w:rsidRPr="00916957" w:rsidRDefault="00801198" w:rsidP="00097103">
      <w:pPr>
        <w:pStyle w:val="BodyText"/>
        <w:ind w:right="-31"/>
        <w:rPr>
          <w:sz w:val="20"/>
        </w:rPr>
      </w:pPr>
    </w:p>
    <w:p w14:paraId="655DF114" w14:textId="77777777" w:rsidR="00801198" w:rsidRPr="00916957" w:rsidRDefault="00801198" w:rsidP="00097103">
      <w:pPr>
        <w:pStyle w:val="BodyText"/>
        <w:ind w:right="-31"/>
        <w:rPr>
          <w:sz w:val="20"/>
        </w:rPr>
      </w:pPr>
    </w:p>
    <w:p w14:paraId="655DF115" w14:textId="77777777" w:rsidR="00801198" w:rsidRPr="00916957" w:rsidRDefault="00801198" w:rsidP="00097103">
      <w:pPr>
        <w:pStyle w:val="BodyText"/>
        <w:ind w:right="-31"/>
        <w:rPr>
          <w:sz w:val="20"/>
        </w:rPr>
      </w:pPr>
    </w:p>
    <w:p w14:paraId="655DF116" w14:textId="77777777" w:rsidR="00801198" w:rsidRPr="00916957" w:rsidRDefault="00801198" w:rsidP="00097103">
      <w:pPr>
        <w:pStyle w:val="BodyText"/>
        <w:ind w:right="-31"/>
        <w:rPr>
          <w:sz w:val="20"/>
        </w:rPr>
      </w:pPr>
    </w:p>
    <w:p w14:paraId="655DF117" w14:textId="77777777" w:rsidR="00801198" w:rsidRPr="00916957" w:rsidRDefault="00801198" w:rsidP="00097103">
      <w:pPr>
        <w:pStyle w:val="BodyText"/>
        <w:ind w:right="-31"/>
        <w:rPr>
          <w:sz w:val="20"/>
        </w:rPr>
      </w:pPr>
    </w:p>
    <w:p w14:paraId="655DF118" w14:textId="77777777" w:rsidR="00801198" w:rsidRPr="00916957" w:rsidRDefault="00801198" w:rsidP="00097103">
      <w:pPr>
        <w:pStyle w:val="BodyText"/>
        <w:ind w:right="-31"/>
        <w:rPr>
          <w:sz w:val="20"/>
        </w:rPr>
      </w:pPr>
    </w:p>
    <w:p w14:paraId="655DF119" w14:textId="77777777" w:rsidR="00801198" w:rsidRPr="00916957" w:rsidRDefault="00801198" w:rsidP="00097103">
      <w:pPr>
        <w:pStyle w:val="BodyText"/>
        <w:ind w:right="-31"/>
        <w:rPr>
          <w:sz w:val="20"/>
        </w:rPr>
      </w:pPr>
    </w:p>
    <w:p w14:paraId="655DF11A" w14:textId="77777777" w:rsidR="00801198" w:rsidRPr="00916957" w:rsidRDefault="00801198" w:rsidP="00097103">
      <w:pPr>
        <w:pStyle w:val="BodyText"/>
        <w:ind w:right="-31"/>
        <w:rPr>
          <w:sz w:val="20"/>
        </w:rPr>
      </w:pPr>
    </w:p>
    <w:p w14:paraId="655DF11B" w14:textId="77777777" w:rsidR="00801198" w:rsidRPr="00916957" w:rsidRDefault="00801198" w:rsidP="00097103">
      <w:pPr>
        <w:pStyle w:val="BodyText"/>
        <w:ind w:right="-31"/>
        <w:rPr>
          <w:sz w:val="20"/>
        </w:rPr>
      </w:pPr>
    </w:p>
    <w:p w14:paraId="655DF11C" w14:textId="77777777" w:rsidR="00801198" w:rsidRPr="00916957" w:rsidRDefault="00801198" w:rsidP="00097103">
      <w:pPr>
        <w:pStyle w:val="BodyText"/>
        <w:ind w:right="-31"/>
        <w:rPr>
          <w:sz w:val="20"/>
        </w:rPr>
      </w:pPr>
    </w:p>
    <w:p w14:paraId="655DF11D" w14:textId="77777777" w:rsidR="00801198" w:rsidRPr="00916957" w:rsidRDefault="00801198" w:rsidP="00097103">
      <w:pPr>
        <w:pStyle w:val="BodyText"/>
        <w:ind w:right="-31"/>
        <w:rPr>
          <w:sz w:val="20"/>
        </w:rPr>
      </w:pPr>
    </w:p>
    <w:p w14:paraId="655DF11E" w14:textId="77777777" w:rsidR="00801198" w:rsidRPr="00916957" w:rsidRDefault="00801198" w:rsidP="00097103">
      <w:pPr>
        <w:pStyle w:val="BodyText"/>
        <w:ind w:right="-31"/>
        <w:rPr>
          <w:sz w:val="20"/>
        </w:rPr>
      </w:pPr>
    </w:p>
    <w:p w14:paraId="655DF11F" w14:textId="77777777" w:rsidR="00801198" w:rsidRPr="00916957" w:rsidRDefault="00801198" w:rsidP="00097103">
      <w:pPr>
        <w:pStyle w:val="BodyText"/>
        <w:ind w:right="-31"/>
        <w:rPr>
          <w:sz w:val="20"/>
        </w:rPr>
      </w:pPr>
    </w:p>
    <w:p w14:paraId="655DF121" w14:textId="590B4C91" w:rsidR="00801198" w:rsidRPr="00335E5A" w:rsidRDefault="00CA3EFD" w:rsidP="00097103">
      <w:pPr>
        <w:spacing w:before="204"/>
        <w:ind w:left="772" w:right="-31"/>
        <w:jc w:val="center"/>
        <w:rPr>
          <w:sz w:val="48"/>
        </w:rPr>
        <w:sectPr w:rsidR="00801198" w:rsidRPr="00335E5A" w:rsidSect="00FE42EE">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440" w:right="1080" w:bottom="1440" w:left="1080" w:header="720" w:footer="674" w:gutter="0"/>
          <w:pgNumType w:start="1"/>
          <w:cols w:space="720"/>
          <w:docGrid w:linePitch="299"/>
        </w:sectPr>
      </w:pPr>
      <w:r w:rsidRPr="00AC5278">
        <w:rPr>
          <w:sz w:val="48"/>
        </w:rPr>
        <w:t>ROTHERHAM METROPOLITAN BOROUGH COUNCIL’S STRATEGIC TENANCY POLICY 20</w:t>
      </w:r>
      <w:r w:rsidR="00334496" w:rsidRPr="00916957">
        <w:rPr>
          <w:sz w:val="48"/>
        </w:rPr>
        <w:t>2</w:t>
      </w:r>
      <w:r w:rsidR="000C1AFA">
        <w:rPr>
          <w:sz w:val="48"/>
        </w:rPr>
        <w:t>5</w:t>
      </w:r>
      <w:r w:rsidR="00FE42EE">
        <w:rPr>
          <w:sz w:val="48"/>
        </w:rPr>
        <w:t xml:space="preserve"> </w:t>
      </w:r>
      <w:r w:rsidR="00334496" w:rsidRPr="00916957">
        <w:rPr>
          <w:sz w:val="48"/>
        </w:rPr>
        <w:t>-</w:t>
      </w:r>
      <w:r w:rsidR="00FE42EE">
        <w:rPr>
          <w:sz w:val="48"/>
        </w:rPr>
        <w:t xml:space="preserve"> </w:t>
      </w:r>
      <w:r w:rsidR="00334496" w:rsidRPr="00916957">
        <w:rPr>
          <w:sz w:val="48"/>
        </w:rPr>
        <w:t>20</w:t>
      </w:r>
      <w:r w:rsidR="000C1AFA">
        <w:rPr>
          <w:sz w:val="48"/>
        </w:rPr>
        <w:t>30</w:t>
      </w:r>
    </w:p>
    <w:p w14:paraId="655DF122" w14:textId="77777777" w:rsidR="00801198" w:rsidRPr="00916957" w:rsidRDefault="00801198" w:rsidP="00097103">
      <w:pPr>
        <w:pStyle w:val="BodyText"/>
        <w:spacing w:before="2"/>
        <w:ind w:right="-31"/>
        <w:rPr>
          <w:sz w:val="1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0"/>
        <w:gridCol w:w="5989"/>
        <w:gridCol w:w="1441"/>
      </w:tblGrid>
      <w:tr w:rsidR="00801198" w:rsidRPr="00335E5A" w14:paraId="655DF126" w14:textId="77777777" w:rsidTr="00045708">
        <w:trPr>
          <w:trHeight w:val="477"/>
        </w:trPr>
        <w:tc>
          <w:tcPr>
            <w:tcW w:w="1320" w:type="dxa"/>
          </w:tcPr>
          <w:p w14:paraId="655DF123" w14:textId="77777777" w:rsidR="00801198" w:rsidRPr="00AC5278" w:rsidRDefault="00CA3EFD" w:rsidP="00097103">
            <w:pPr>
              <w:pStyle w:val="TableParagraph"/>
              <w:spacing w:before="68"/>
              <w:ind w:right="-31"/>
              <w:rPr>
                <w:b/>
                <w:sz w:val="24"/>
              </w:rPr>
            </w:pPr>
            <w:r w:rsidRPr="00AC5278">
              <w:rPr>
                <w:b/>
                <w:w w:val="99"/>
                <w:sz w:val="24"/>
              </w:rPr>
              <w:t>1</w:t>
            </w:r>
          </w:p>
        </w:tc>
        <w:tc>
          <w:tcPr>
            <w:tcW w:w="5989" w:type="dxa"/>
          </w:tcPr>
          <w:p w14:paraId="655DF124" w14:textId="77777777" w:rsidR="00801198" w:rsidRPr="00916957" w:rsidRDefault="00CA3EFD" w:rsidP="00097103">
            <w:pPr>
              <w:pStyle w:val="TableParagraph"/>
              <w:spacing w:before="68"/>
              <w:ind w:right="-31"/>
              <w:rPr>
                <w:b/>
                <w:sz w:val="24"/>
              </w:rPr>
            </w:pPr>
            <w:r w:rsidRPr="00916957">
              <w:rPr>
                <w:b/>
                <w:sz w:val="24"/>
              </w:rPr>
              <w:t>INTRODUCTION</w:t>
            </w:r>
          </w:p>
        </w:tc>
        <w:tc>
          <w:tcPr>
            <w:tcW w:w="1441" w:type="dxa"/>
          </w:tcPr>
          <w:p w14:paraId="655DF125" w14:textId="77777777" w:rsidR="00801198" w:rsidRPr="00335E5A" w:rsidRDefault="00CA3EFD" w:rsidP="00097103">
            <w:pPr>
              <w:pStyle w:val="TableParagraph"/>
              <w:spacing w:before="68"/>
              <w:ind w:right="-31"/>
              <w:rPr>
                <w:sz w:val="24"/>
              </w:rPr>
            </w:pPr>
            <w:r w:rsidRPr="00335E5A">
              <w:rPr>
                <w:sz w:val="24"/>
              </w:rPr>
              <w:t>Page 3</w:t>
            </w:r>
          </w:p>
        </w:tc>
      </w:tr>
      <w:tr w:rsidR="00801198" w:rsidRPr="00335E5A" w14:paraId="655DF12A" w14:textId="77777777" w:rsidTr="00045708">
        <w:trPr>
          <w:trHeight w:val="477"/>
        </w:trPr>
        <w:tc>
          <w:tcPr>
            <w:tcW w:w="1320" w:type="dxa"/>
          </w:tcPr>
          <w:p w14:paraId="655DF127" w14:textId="77777777" w:rsidR="00801198" w:rsidRPr="00335E5A" w:rsidRDefault="00CA3EFD" w:rsidP="00097103">
            <w:pPr>
              <w:pStyle w:val="TableParagraph"/>
              <w:spacing w:before="103"/>
              <w:ind w:right="-31"/>
              <w:rPr>
                <w:b/>
                <w:sz w:val="24"/>
              </w:rPr>
            </w:pPr>
            <w:r w:rsidRPr="00335E5A">
              <w:rPr>
                <w:b/>
                <w:w w:val="99"/>
                <w:sz w:val="24"/>
              </w:rPr>
              <w:t>2</w:t>
            </w:r>
          </w:p>
        </w:tc>
        <w:tc>
          <w:tcPr>
            <w:tcW w:w="5989" w:type="dxa"/>
          </w:tcPr>
          <w:p w14:paraId="655DF128" w14:textId="77777777" w:rsidR="00801198" w:rsidRPr="00335E5A" w:rsidRDefault="00CA3EFD" w:rsidP="00097103">
            <w:pPr>
              <w:pStyle w:val="TableParagraph"/>
              <w:spacing w:before="103"/>
              <w:ind w:right="-31"/>
              <w:rPr>
                <w:b/>
                <w:sz w:val="24"/>
              </w:rPr>
            </w:pPr>
            <w:r w:rsidRPr="00335E5A">
              <w:rPr>
                <w:b/>
                <w:sz w:val="24"/>
              </w:rPr>
              <w:t>BACKGROUND</w:t>
            </w:r>
          </w:p>
        </w:tc>
        <w:tc>
          <w:tcPr>
            <w:tcW w:w="1441" w:type="dxa"/>
          </w:tcPr>
          <w:p w14:paraId="655DF129" w14:textId="77777777" w:rsidR="00801198" w:rsidRPr="00335E5A" w:rsidRDefault="00CA3EFD" w:rsidP="00097103">
            <w:pPr>
              <w:pStyle w:val="TableParagraph"/>
              <w:spacing w:before="103"/>
              <w:ind w:right="-31"/>
              <w:rPr>
                <w:sz w:val="24"/>
              </w:rPr>
            </w:pPr>
            <w:r w:rsidRPr="00335E5A">
              <w:rPr>
                <w:sz w:val="24"/>
              </w:rPr>
              <w:t>Page 3</w:t>
            </w:r>
          </w:p>
        </w:tc>
      </w:tr>
      <w:tr w:rsidR="00045708" w:rsidRPr="00335E5A" w14:paraId="655DF12E" w14:textId="77777777" w:rsidTr="00045708">
        <w:trPr>
          <w:trHeight w:val="477"/>
        </w:trPr>
        <w:tc>
          <w:tcPr>
            <w:tcW w:w="1320" w:type="dxa"/>
          </w:tcPr>
          <w:p w14:paraId="655DF12B" w14:textId="257ABC77" w:rsidR="00045708" w:rsidRPr="00335E5A" w:rsidRDefault="00045708" w:rsidP="00045708">
            <w:pPr>
              <w:pStyle w:val="TableParagraph"/>
              <w:spacing w:before="86"/>
              <w:ind w:right="-31"/>
              <w:rPr>
                <w:b/>
                <w:sz w:val="24"/>
              </w:rPr>
            </w:pPr>
            <w:r w:rsidRPr="00335E5A">
              <w:rPr>
                <w:b/>
                <w:w w:val="99"/>
                <w:sz w:val="24"/>
              </w:rPr>
              <w:t>3</w:t>
            </w:r>
          </w:p>
        </w:tc>
        <w:tc>
          <w:tcPr>
            <w:tcW w:w="5989" w:type="dxa"/>
          </w:tcPr>
          <w:p w14:paraId="655DF12C" w14:textId="276D419C" w:rsidR="00045708" w:rsidRPr="00335E5A" w:rsidRDefault="00045708" w:rsidP="00045708">
            <w:pPr>
              <w:pStyle w:val="TableParagraph"/>
              <w:spacing w:before="86"/>
              <w:ind w:right="-31"/>
              <w:rPr>
                <w:b/>
                <w:sz w:val="24"/>
              </w:rPr>
            </w:pPr>
            <w:r>
              <w:rPr>
                <w:b/>
                <w:sz w:val="24"/>
              </w:rPr>
              <w:t xml:space="preserve">LOCAL </w:t>
            </w:r>
            <w:r w:rsidRPr="00335E5A">
              <w:rPr>
                <w:b/>
                <w:sz w:val="24"/>
              </w:rPr>
              <w:t>STRATEGIC CONTEXT</w:t>
            </w:r>
          </w:p>
        </w:tc>
        <w:tc>
          <w:tcPr>
            <w:tcW w:w="1441" w:type="dxa"/>
          </w:tcPr>
          <w:p w14:paraId="655DF12D" w14:textId="77777777" w:rsidR="00045708" w:rsidRPr="00335E5A" w:rsidRDefault="00045708" w:rsidP="00097103">
            <w:pPr>
              <w:pStyle w:val="TableParagraph"/>
              <w:spacing w:before="86"/>
              <w:ind w:right="-31"/>
              <w:rPr>
                <w:sz w:val="24"/>
              </w:rPr>
            </w:pPr>
            <w:r w:rsidRPr="00335E5A">
              <w:rPr>
                <w:sz w:val="24"/>
              </w:rPr>
              <w:t>Page 4</w:t>
            </w:r>
          </w:p>
        </w:tc>
      </w:tr>
      <w:tr w:rsidR="00801198" w:rsidRPr="00335E5A" w14:paraId="655DF13A" w14:textId="77777777" w:rsidTr="00045708">
        <w:trPr>
          <w:trHeight w:val="477"/>
        </w:trPr>
        <w:tc>
          <w:tcPr>
            <w:tcW w:w="1320" w:type="dxa"/>
          </w:tcPr>
          <w:p w14:paraId="655DF137" w14:textId="77777777" w:rsidR="00801198" w:rsidRPr="00335E5A" w:rsidRDefault="00CA3EFD" w:rsidP="00097103">
            <w:pPr>
              <w:pStyle w:val="TableParagraph"/>
              <w:spacing w:before="118"/>
              <w:ind w:right="-31"/>
              <w:rPr>
                <w:b/>
                <w:sz w:val="24"/>
              </w:rPr>
            </w:pPr>
            <w:r w:rsidRPr="00335E5A">
              <w:rPr>
                <w:b/>
                <w:w w:val="99"/>
                <w:sz w:val="24"/>
              </w:rPr>
              <w:t>4</w:t>
            </w:r>
          </w:p>
        </w:tc>
        <w:tc>
          <w:tcPr>
            <w:tcW w:w="5989" w:type="dxa"/>
          </w:tcPr>
          <w:p w14:paraId="655DF138" w14:textId="77777777" w:rsidR="00801198" w:rsidRPr="00335E5A" w:rsidRDefault="00CA3EFD" w:rsidP="00097103">
            <w:pPr>
              <w:pStyle w:val="TableParagraph"/>
              <w:spacing w:before="118"/>
              <w:ind w:right="-31"/>
              <w:rPr>
                <w:b/>
                <w:sz w:val="24"/>
              </w:rPr>
            </w:pPr>
            <w:r w:rsidRPr="00335E5A">
              <w:rPr>
                <w:b/>
                <w:sz w:val="24"/>
              </w:rPr>
              <w:t>HOUSING IN ROTHERHAM</w:t>
            </w:r>
          </w:p>
        </w:tc>
        <w:tc>
          <w:tcPr>
            <w:tcW w:w="1441" w:type="dxa"/>
          </w:tcPr>
          <w:p w14:paraId="655DF139" w14:textId="4D7623AB" w:rsidR="00801198" w:rsidRPr="00335E5A" w:rsidRDefault="00CA3EFD" w:rsidP="00097103">
            <w:pPr>
              <w:pStyle w:val="TableParagraph"/>
              <w:spacing w:before="118"/>
              <w:ind w:right="-31"/>
              <w:rPr>
                <w:sz w:val="24"/>
              </w:rPr>
            </w:pPr>
            <w:r w:rsidRPr="00335E5A">
              <w:rPr>
                <w:sz w:val="24"/>
              </w:rPr>
              <w:t xml:space="preserve">Page </w:t>
            </w:r>
            <w:r w:rsidR="004574E3" w:rsidRPr="00335E5A">
              <w:rPr>
                <w:sz w:val="24"/>
              </w:rPr>
              <w:t>4</w:t>
            </w:r>
          </w:p>
        </w:tc>
      </w:tr>
      <w:tr w:rsidR="00045708" w:rsidRPr="00335E5A" w14:paraId="655DF13E" w14:textId="77777777" w:rsidTr="000F3BE9">
        <w:trPr>
          <w:trHeight w:val="615"/>
        </w:trPr>
        <w:tc>
          <w:tcPr>
            <w:tcW w:w="1320" w:type="dxa"/>
            <w:tcBorders>
              <w:bottom w:val="nil"/>
            </w:tcBorders>
          </w:tcPr>
          <w:p w14:paraId="655DF13B" w14:textId="2AD68B9A" w:rsidR="00045708" w:rsidRPr="00335E5A" w:rsidRDefault="00045708" w:rsidP="00045708">
            <w:pPr>
              <w:pStyle w:val="TableParagraph"/>
              <w:spacing w:before="120"/>
              <w:ind w:right="-31"/>
              <w:rPr>
                <w:b/>
                <w:sz w:val="24"/>
              </w:rPr>
            </w:pPr>
            <w:r w:rsidRPr="00335E5A">
              <w:rPr>
                <w:b/>
                <w:w w:val="99"/>
                <w:sz w:val="24"/>
              </w:rPr>
              <w:t>5</w:t>
            </w:r>
          </w:p>
        </w:tc>
        <w:tc>
          <w:tcPr>
            <w:tcW w:w="5989" w:type="dxa"/>
            <w:tcBorders>
              <w:bottom w:val="nil"/>
            </w:tcBorders>
          </w:tcPr>
          <w:p w14:paraId="655DF13C" w14:textId="03B65B8E" w:rsidR="00045708" w:rsidRPr="00335E5A" w:rsidRDefault="00045708" w:rsidP="00045708">
            <w:pPr>
              <w:pStyle w:val="TableParagraph"/>
              <w:spacing w:before="120"/>
              <w:ind w:right="-31"/>
              <w:rPr>
                <w:b/>
                <w:sz w:val="24"/>
              </w:rPr>
            </w:pPr>
            <w:r w:rsidRPr="00335E5A">
              <w:rPr>
                <w:b/>
                <w:sz w:val="24"/>
              </w:rPr>
              <w:t>THE USE OF FIXED TERM/FLEXIBLE TENANCIES</w:t>
            </w:r>
          </w:p>
        </w:tc>
        <w:tc>
          <w:tcPr>
            <w:tcW w:w="1441" w:type="dxa"/>
            <w:vMerge w:val="restart"/>
          </w:tcPr>
          <w:p w14:paraId="655DF13D" w14:textId="77777777" w:rsidR="00045708" w:rsidRPr="00335E5A" w:rsidRDefault="00045708" w:rsidP="00097103">
            <w:pPr>
              <w:pStyle w:val="TableParagraph"/>
              <w:spacing w:before="120"/>
              <w:ind w:right="-31"/>
              <w:rPr>
                <w:sz w:val="24"/>
              </w:rPr>
            </w:pPr>
            <w:r w:rsidRPr="00335E5A">
              <w:rPr>
                <w:sz w:val="24"/>
              </w:rPr>
              <w:t>Page 5</w:t>
            </w:r>
          </w:p>
        </w:tc>
      </w:tr>
      <w:tr w:rsidR="00045708" w:rsidRPr="00E26E5E" w14:paraId="74B2E6F3" w14:textId="77777777" w:rsidTr="000F3BE9">
        <w:trPr>
          <w:trHeight w:val="422"/>
        </w:trPr>
        <w:tc>
          <w:tcPr>
            <w:tcW w:w="1320" w:type="dxa"/>
            <w:tcBorders>
              <w:top w:val="nil"/>
              <w:bottom w:val="nil"/>
            </w:tcBorders>
          </w:tcPr>
          <w:p w14:paraId="14ADC8DF" w14:textId="13154C3A" w:rsidR="00045708" w:rsidRDefault="00045708" w:rsidP="00045708">
            <w:pPr>
              <w:pStyle w:val="TableParagraph"/>
              <w:spacing w:line="251" w:lineRule="exact"/>
              <w:ind w:right="-31"/>
              <w:rPr>
                <w:sz w:val="24"/>
              </w:rPr>
            </w:pPr>
            <w:r>
              <w:rPr>
                <w:sz w:val="24"/>
              </w:rPr>
              <w:t>5.1</w:t>
            </w:r>
          </w:p>
        </w:tc>
        <w:tc>
          <w:tcPr>
            <w:tcW w:w="5989" w:type="dxa"/>
            <w:tcBorders>
              <w:top w:val="nil"/>
              <w:bottom w:val="nil"/>
            </w:tcBorders>
          </w:tcPr>
          <w:p w14:paraId="69FFDFE3" w14:textId="44302A0E" w:rsidR="00045708" w:rsidRDefault="00045708" w:rsidP="00045708">
            <w:pPr>
              <w:pStyle w:val="BodyText"/>
              <w:tabs>
                <w:tab w:val="left" w:pos="1276"/>
              </w:tabs>
              <w:ind w:left="120" w:right="-31"/>
            </w:pPr>
            <w:r>
              <w:t>Type of tenancies issued by RMBC</w:t>
            </w:r>
          </w:p>
        </w:tc>
        <w:tc>
          <w:tcPr>
            <w:tcW w:w="1441" w:type="dxa"/>
            <w:vMerge/>
          </w:tcPr>
          <w:p w14:paraId="183CEF3E" w14:textId="77777777" w:rsidR="00045708" w:rsidRPr="00E26E5E" w:rsidRDefault="00045708" w:rsidP="00097103">
            <w:pPr>
              <w:ind w:right="-31"/>
              <w:rPr>
                <w:sz w:val="2"/>
                <w:szCs w:val="2"/>
              </w:rPr>
            </w:pPr>
          </w:p>
        </w:tc>
      </w:tr>
      <w:tr w:rsidR="00045708" w:rsidRPr="00E26E5E" w14:paraId="7CC4D8B3" w14:textId="77777777" w:rsidTr="000F3BE9">
        <w:trPr>
          <w:trHeight w:val="414"/>
        </w:trPr>
        <w:tc>
          <w:tcPr>
            <w:tcW w:w="1320" w:type="dxa"/>
            <w:tcBorders>
              <w:top w:val="nil"/>
              <w:bottom w:val="nil"/>
            </w:tcBorders>
          </w:tcPr>
          <w:p w14:paraId="0E52F8C8" w14:textId="3699EA07" w:rsidR="00045708" w:rsidRDefault="00045708" w:rsidP="00045708">
            <w:pPr>
              <w:pStyle w:val="TableParagraph"/>
              <w:spacing w:line="251" w:lineRule="exact"/>
              <w:ind w:right="-31"/>
              <w:rPr>
                <w:sz w:val="24"/>
              </w:rPr>
            </w:pPr>
            <w:r>
              <w:rPr>
                <w:sz w:val="24"/>
              </w:rPr>
              <w:t>5.2</w:t>
            </w:r>
          </w:p>
        </w:tc>
        <w:tc>
          <w:tcPr>
            <w:tcW w:w="5989" w:type="dxa"/>
            <w:tcBorders>
              <w:top w:val="nil"/>
              <w:bottom w:val="nil"/>
            </w:tcBorders>
          </w:tcPr>
          <w:p w14:paraId="201ED7EA" w14:textId="0A5E6710" w:rsidR="00045708" w:rsidRDefault="00045708" w:rsidP="00045708">
            <w:pPr>
              <w:pStyle w:val="BodyText"/>
              <w:tabs>
                <w:tab w:val="left" w:pos="1276"/>
              </w:tabs>
              <w:ind w:left="120" w:right="-31"/>
            </w:pPr>
            <w:r>
              <w:t>Larger family homes</w:t>
            </w:r>
          </w:p>
        </w:tc>
        <w:tc>
          <w:tcPr>
            <w:tcW w:w="1441" w:type="dxa"/>
            <w:vMerge/>
          </w:tcPr>
          <w:p w14:paraId="5A4DFBE1" w14:textId="77777777" w:rsidR="00045708" w:rsidRPr="00E26E5E" w:rsidRDefault="00045708" w:rsidP="00097103">
            <w:pPr>
              <w:ind w:right="-31"/>
              <w:rPr>
                <w:sz w:val="2"/>
                <w:szCs w:val="2"/>
              </w:rPr>
            </w:pPr>
          </w:p>
        </w:tc>
      </w:tr>
      <w:tr w:rsidR="00045708" w:rsidRPr="00E26E5E" w14:paraId="393FF858" w14:textId="77777777" w:rsidTr="000F3BE9">
        <w:trPr>
          <w:trHeight w:val="407"/>
        </w:trPr>
        <w:tc>
          <w:tcPr>
            <w:tcW w:w="1320" w:type="dxa"/>
            <w:tcBorders>
              <w:top w:val="nil"/>
              <w:bottom w:val="nil"/>
            </w:tcBorders>
          </w:tcPr>
          <w:p w14:paraId="26BA55CC" w14:textId="2C0C00D1" w:rsidR="00045708" w:rsidRDefault="00045708" w:rsidP="00045708">
            <w:pPr>
              <w:pStyle w:val="TableParagraph"/>
              <w:spacing w:line="251" w:lineRule="exact"/>
              <w:ind w:right="-31"/>
              <w:rPr>
                <w:sz w:val="24"/>
              </w:rPr>
            </w:pPr>
            <w:r>
              <w:rPr>
                <w:sz w:val="24"/>
              </w:rPr>
              <w:t>5.3</w:t>
            </w:r>
          </w:p>
        </w:tc>
        <w:tc>
          <w:tcPr>
            <w:tcW w:w="5989" w:type="dxa"/>
            <w:tcBorders>
              <w:top w:val="nil"/>
              <w:bottom w:val="nil"/>
            </w:tcBorders>
          </w:tcPr>
          <w:p w14:paraId="557A35DF" w14:textId="663B6345" w:rsidR="00045708" w:rsidRDefault="00045708" w:rsidP="00045708">
            <w:pPr>
              <w:pStyle w:val="BodyText"/>
              <w:tabs>
                <w:tab w:val="left" w:pos="1276"/>
              </w:tabs>
              <w:ind w:left="120" w:right="-31"/>
            </w:pPr>
            <w:r>
              <w:t>Adapted properties</w:t>
            </w:r>
          </w:p>
        </w:tc>
        <w:tc>
          <w:tcPr>
            <w:tcW w:w="1441" w:type="dxa"/>
            <w:vMerge/>
          </w:tcPr>
          <w:p w14:paraId="4C717FC8" w14:textId="77777777" w:rsidR="00045708" w:rsidRPr="00E26E5E" w:rsidRDefault="00045708" w:rsidP="00097103">
            <w:pPr>
              <w:ind w:right="-31"/>
              <w:rPr>
                <w:sz w:val="2"/>
                <w:szCs w:val="2"/>
              </w:rPr>
            </w:pPr>
          </w:p>
        </w:tc>
      </w:tr>
      <w:tr w:rsidR="00045708" w:rsidRPr="00E26E5E" w14:paraId="3E586D9D" w14:textId="77777777" w:rsidTr="000F3BE9">
        <w:trPr>
          <w:trHeight w:val="692"/>
        </w:trPr>
        <w:tc>
          <w:tcPr>
            <w:tcW w:w="1320" w:type="dxa"/>
            <w:tcBorders>
              <w:top w:val="nil"/>
              <w:bottom w:val="nil"/>
            </w:tcBorders>
          </w:tcPr>
          <w:p w14:paraId="305B6E06" w14:textId="73FB8115" w:rsidR="00045708" w:rsidRDefault="005B4584" w:rsidP="005B4584">
            <w:pPr>
              <w:pStyle w:val="TableParagraph"/>
              <w:spacing w:line="251" w:lineRule="exact"/>
              <w:ind w:left="0" w:right="-31"/>
              <w:rPr>
                <w:sz w:val="24"/>
              </w:rPr>
            </w:pPr>
            <w:r>
              <w:rPr>
                <w:sz w:val="24"/>
              </w:rPr>
              <w:t xml:space="preserve"> </w:t>
            </w:r>
            <w:r w:rsidR="00045708">
              <w:rPr>
                <w:sz w:val="24"/>
              </w:rPr>
              <w:t>5.</w:t>
            </w:r>
            <w:r w:rsidR="00E14488">
              <w:rPr>
                <w:sz w:val="24"/>
              </w:rPr>
              <w:t>4</w:t>
            </w:r>
          </w:p>
        </w:tc>
        <w:tc>
          <w:tcPr>
            <w:tcW w:w="5989" w:type="dxa"/>
            <w:tcBorders>
              <w:top w:val="nil"/>
              <w:bottom w:val="nil"/>
            </w:tcBorders>
          </w:tcPr>
          <w:p w14:paraId="3E98B785" w14:textId="4A1F60C1" w:rsidR="00045708" w:rsidRDefault="00045708" w:rsidP="00045708">
            <w:pPr>
              <w:pStyle w:val="BodyText"/>
              <w:tabs>
                <w:tab w:val="left" w:pos="1276"/>
              </w:tabs>
              <w:ind w:left="120" w:right="-31"/>
            </w:pPr>
            <w:r>
              <w:t xml:space="preserve">Individuals </w:t>
            </w:r>
            <w:r w:rsidRPr="00FE42EE">
              <w:t>who do not have indefinite leave to remain but can still receive social housing</w:t>
            </w:r>
          </w:p>
        </w:tc>
        <w:tc>
          <w:tcPr>
            <w:tcW w:w="1441" w:type="dxa"/>
            <w:vMerge/>
          </w:tcPr>
          <w:p w14:paraId="03C52CE8" w14:textId="77777777" w:rsidR="00045708" w:rsidRPr="00E26E5E" w:rsidRDefault="00045708" w:rsidP="00097103">
            <w:pPr>
              <w:ind w:right="-31"/>
              <w:rPr>
                <w:sz w:val="2"/>
                <w:szCs w:val="2"/>
              </w:rPr>
            </w:pPr>
          </w:p>
        </w:tc>
      </w:tr>
      <w:tr w:rsidR="00045708" w:rsidRPr="00E26E5E" w14:paraId="06D8E1FA" w14:textId="77777777" w:rsidTr="000F3BE9">
        <w:trPr>
          <w:trHeight w:val="414"/>
        </w:trPr>
        <w:tc>
          <w:tcPr>
            <w:tcW w:w="1320" w:type="dxa"/>
            <w:tcBorders>
              <w:top w:val="nil"/>
              <w:bottom w:val="nil"/>
            </w:tcBorders>
          </w:tcPr>
          <w:p w14:paraId="6171F5C0" w14:textId="4E57E209" w:rsidR="00045708" w:rsidRDefault="00045708" w:rsidP="00045708">
            <w:pPr>
              <w:pStyle w:val="TableParagraph"/>
              <w:spacing w:line="251" w:lineRule="exact"/>
              <w:ind w:right="-31"/>
              <w:rPr>
                <w:sz w:val="24"/>
              </w:rPr>
            </w:pPr>
            <w:r>
              <w:rPr>
                <w:sz w:val="24"/>
              </w:rPr>
              <w:t>5.</w:t>
            </w:r>
            <w:r w:rsidR="00E14488">
              <w:rPr>
                <w:sz w:val="24"/>
              </w:rPr>
              <w:t>5</w:t>
            </w:r>
          </w:p>
        </w:tc>
        <w:tc>
          <w:tcPr>
            <w:tcW w:w="5989" w:type="dxa"/>
            <w:tcBorders>
              <w:top w:val="nil"/>
              <w:bottom w:val="nil"/>
            </w:tcBorders>
          </w:tcPr>
          <w:p w14:paraId="6BEDBF28" w14:textId="4C7CBAF1" w:rsidR="00045708" w:rsidRDefault="00045708" w:rsidP="00045708">
            <w:pPr>
              <w:pStyle w:val="BodyText"/>
              <w:tabs>
                <w:tab w:val="left" w:pos="1276"/>
              </w:tabs>
              <w:ind w:left="120" w:right="-31"/>
            </w:pPr>
            <w:r>
              <w:t>Issuing fixed term tenancies</w:t>
            </w:r>
          </w:p>
        </w:tc>
        <w:tc>
          <w:tcPr>
            <w:tcW w:w="1441" w:type="dxa"/>
            <w:vMerge/>
          </w:tcPr>
          <w:p w14:paraId="1ACB5DC4" w14:textId="77777777" w:rsidR="00045708" w:rsidRPr="00E26E5E" w:rsidRDefault="00045708" w:rsidP="00097103">
            <w:pPr>
              <w:ind w:right="-31"/>
              <w:rPr>
                <w:sz w:val="2"/>
                <w:szCs w:val="2"/>
              </w:rPr>
            </w:pPr>
          </w:p>
        </w:tc>
      </w:tr>
      <w:tr w:rsidR="00045708" w:rsidRPr="00E26E5E" w14:paraId="414954C0" w14:textId="77777777" w:rsidTr="000F3BE9">
        <w:trPr>
          <w:trHeight w:val="414"/>
        </w:trPr>
        <w:tc>
          <w:tcPr>
            <w:tcW w:w="1320" w:type="dxa"/>
            <w:tcBorders>
              <w:top w:val="nil"/>
              <w:bottom w:val="nil"/>
            </w:tcBorders>
          </w:tcPr>
          <w:p w14:paraId="4961E905" w14:textId="22376642" w:rsidR="00045708" w:rsidRDefault="00045708" w:rsidP="00045708">
            <w:pPr>
              <w:pStyle w:val="TableParagraph"/>
              <w:spacing w:line="251" w:lineRule="exact"/>
              <w:ind w:right="-31"/>
              <w:rPr>
                <w:sz w:val="24"/>
              </w:rPr>
            </w:pPr>
            <w:r>
              <w:rPr>
                <w:sz w:val="24"/>
              </w:rPr>
              <w:t>5.</w:t>
            </w:r>
            <w:r w:rsidR="00E14488">
              <w:rPr>
                <w:sz w:val="24"/>
              </w:rPr>
              <w:t>6</w:t>
            </w:r>
          </w:p>
        </w:tc>
        <w:tc>
          <w:tcPr>
            <w:tcW w:w="5989" w:type="dxa"/>
            <w:tcBorders>
              <w:top w:val="nil"/>
              <w:bottom w:val="nil"/>
            </w:tcBorders>
          </w:tcPr>
          <w:p w14:paraId="4C353D4E" w14:textId="715C5B64" w:rsidR="00045708" w:rsidRDefault="00045708" w:rsidP="00045708">
            <w:pPr>
              <w:pStyle w:val="BodyText"/>
              <w:tabs>
                <w:tab w:val="left" w:pos="1276"/>
              </w:tabs>
              <w:ind w:left="120" w:right="-31"/>
            </w:pPr>
            <w:r>
              <w:t>Granting a further tenancy</w:t>
            </w:r>
          </w:p>
        </w:tc>
        <w:tc>
          <w:tcPr>
            <w:tcW w:w="1441" w:type="dxa"/>
            <w:vMerge/>
          </w:tcPr>
          <w:p w14:paraId="317DC708" w14:textId="77777777" w:rsidR="00045708" w:rsidRPr="00E26E5E" w:rsidRDefault="00045708" w:rsidP="00097103">
            <w:pPr>
              <w:ind w:right="-31"/>
              <w:rPr>
                <w:sz w:val="2"/>
                <w:szCs w:val="2"/>
              </w:rPr>
            </w:pPr>
          </w:p>
        </w:tc>
      </w:tr>
      <w:tr w:rsidR="00045708" w:rsidRPr="00E26E5E" w14:paraId="25C123E0" w14:textId="77777777" w:rsidTr="000F3BE9">
        <w:trPr>
          <w:trHeight w:val="414"/>
        </w:trPr>
        <w:tc>
          <w:tcPr>
            <w:tcW w:w="1320" w:type="dxa"/>
            <w:tcBorders>
              <w:top w:val="nil"/>
              <w:bottom w:val="nil"/>
            </w:tcBorders>
          </w:tcPr>
          <w:p w14:paraId="3545113C" w14:textId="1A19BD65" w:rsidR="00045708" w:rsidRDefault="00045708" w:rsidP="00045708">
            <w:pPr>
              <w:pStyle w:val="TableParagraph"/>
              <w:spacing w:line="251" w:lineRule="exact"/>
              <w:ind w:right="-31"/>
              <w:rPr>
                <w:sz w:val="24"/>
              </w:rPr>
            </w:pPr>
            <w:r>
              <w:rPr>
                <w:sz w:val="24"/>
              </w:rPr>
              <w:t>5.</w:t>
            </w:r>
            <w:r w:rsidR="00E14488">
              <w:rPr>
                <w:sz w:val="24"/>
              </w:rPr>
              <w:t>7</w:t>
            </w:r>
          </w:p>
        </w:tc>
        <w:tc>
          <w:tcPr>
            <w:tcW w:w="5989" w:type="dxa"/>
            <w:tcBorders>
              <w:top w:val="nil"/>
              <w:bottom w:val="nil"/>
            </w:tcBorders>
          </w:tcPr>
          <w:p w14:paraId="35B2E937" w14:textId="7ADA3F4B" w:rsidR="00045708" w:rsidRDefault="00045708" w:rsidP="00045708">
            <w:pPr>
              <w:pStyle w:val="BodyText"/>
              <w:tabs>
                <w:tab w:val="left" w:pos="1276"/>
              </w:tabs>
              <w:ind w:left="120" w:right="-31"/>
            </w:pPr>
            <w:r>
              <w:t>Mutual exchanges</w:t>
            </w:r>
          </w:p>
        </w:tc>
        <w:tc>
          <w:tcPr>
            <w:tcW w:w="1441" w:type="dxa"/>
            <w:vMerge/>
          </w:tcPr>
          <w:p w14:paraId="2BA9A239" w14:textId="77777777" w:rsidR="00045708" w:rsidRPr="00E26E5E" w:rsidRDefault="00045708" w:rsidP="00097103">
            <w:pPr>
              <w:ind w:right="-31"/>
              <w:rPr>
                <w:sz w:val="2"/>
                <w:szCs w:val="2"/>
              </w:rPr>
            </w:pPr>
          </w:p>
        </w:tc>
      </w:tr>
      <w:tr w:rsidR="00045708" w:rsidRPr="00E26E5E" w14:paraId="1102F925" w14:textId="77777777" w:rsidTr="000F3BE9">
        <w:trPr>
          <w:trHeight w:val="706"/>
        </w:trPr>
        <w:tc>
          <w:tcPr>
            <w:tcW w:w="1320" w:type="dxa"/>
            <w:tcBorders>
              <w:top w:val="nil"/>
              <w:bottom w:val="nil"/>
            </w:tcBorders>
          </w:tcPr>
          <w:p w14:paraId="2F79062D" w14:textId="051D7FDE" w:rsidR="00045708" w:rsidRDefault="00045708" w:rsidP="00045708">
            <w:pPr>
              <w:pStyle w:val="TableParagraph"/>
              <w:spacing w:line="251" w:lineRule="exact"/>
              <w:ind w:right="-31"/>
              <w:rPr>
                <w:sz w:val="24"/>
              </w:rPr>
            </w:pPr>
            <w:r>
              <w:rPr>
                <w:sz w:val="24"/>
              </w:rPr>
              <w:t>5.</w:t>
            </w:r>
            <w:r w:rsidR="00E14488">
              <w:rPr>
                <w:sz w:val="24"/>
              </w:rPr>
              <w:t>8</w:t>
            </w:r>
          </w:p>
        </w:tc>
        <w:tc>
          <w:tcPr>
            <w:tcW w:w="5989" w:type="dxa"/>
            <w:tcBorders>
              <w:top w:val="nil"/>
              <w:bottom w:val="nil"/>
            </w:tcBorders>
          </w:tcPr>
          <w:p w14:paraId="50EEC729" w14:textId="288659AA" w:rsidR="00045708" w:rsidRDefault="00045708" w:rsidP="00045708">
            <w:pPr>
              <w:pStyle w:val="BodyText"/>
              <w:tabs>
                <w:tab w:val="left" w:pos="1276"/>
              </w:tabs>
              <w:ind w:left="120" w:right="-31"/>
            </w:pPr>
            <w:r w:rsidRPr="00E26E5E">
              <w:t>Existing tenants transferring to adapted properties or larger family homes</w:t>
            </w:r>
          </w:p>
        </w:tc>
        <w:tc>
          <w:tcPr>
            <w:tcW w:w="1441" w:type="dxa"/>
            <w:vMerge/>
          </w:tcPr>
          <w:p w14:paraId="735B4F6D" w14:textId="77777777" w:rsidR="00045708" w:rsidRPr="00E26E5E" w:rsidRDefault="00045708" w:rsidP="00097103">
            <w:pPr>
              <w:ind w:right="-31"/>
              <w:rPr>
                <w:sz w:val="2"/>
                <w:szCs w:val="2"/>
              </w:rPr>
            </w:pPr>
          </w:p>
        </w:tc>
      </w:tr>
      <w:tr w:rsidR="00045708" w:rsidRPr="00E26E5E" w14:paraId="08E3ED4D" w14:textId="77777777" w:rsidTr="000F3BE9">
        <w:trPr>
          <w:trHeight w:val="414"/>
        </w:trPr>
        <w:tc>
          <w:tcPr>
            <w:tcW w:w="1320" w:type="dxa"/>
            <w:tcBorders>
              <w:top w:val="nil"/>
            </w:tcBorders>
          </w:tcPr>
          <w:p w14:paraId="77000CBA" w14:textId="422E2116" w:rsidR="00045708" w:rsidRDefault="00045708" w:rsidP="00045708">
            <w:pPr>
              <w:pStyle w:val="TableParagraph"/>
              <w:spacing w:line="251" w:lineRule="exact"/>
              <w:ind w:right="-31"/>
              <w:rPr>
                <w:sz w:val="24"/>
              </w:rPr>
            </w:pPr>
            <w:r>
              <w:rPr>
                <w:sz w:val="24"/>
              </w:rPr>
              <w:t>5.</w:t>
            </w:r>
            <w:r w:rsidR="00E14488">
              <w:rPr>
                <w:sz w:val="24"/>
              </w:rPr>
              <w:t>9</w:t>
            </w:r>
          </w:p>
        </w:tc>
        <w:tc>
          <w:tcPr>
            <w:tcW w:w="5989" w:type="dxa"/>
            <w:tcBorders>
              <w:top w:val="nil"/>
            </w:tcBorders>
          </w:tcPr>
          <w:p w14:paraId="57F5363A" w14:textId="62EF339A" w:rsidR="00045708" w:rsidRPr="00E26E5E" w:rsidRDefault="00045708" w:rsidP="00045708">
            <w:pPr>
              <w:pStyle w:val="BodyText"/>
              <w:tabs>
                <w:tab w:val="left" w:pos="1276"/>
              </w:tabs>
              <w:ind w:left="120" w:right="-31"/>
            </w:pPr>
            <w:r w:rsidRPr="00E26E5E">
              <w:t>Tenants fleeing domestic abuse</w:t>
            </w:r>
          </w:p>
        </w:tc>
        <w:tc>
          <w:tcPr>
            <w:tcW w:w="1441" w:type="dxa"/>
            <w:vMerge/>
          </w:tcPr>
          <w:p w14:paraId="752E363E" w14:textId="77777777" w:rsidR="00045708" w:rsidRPr="00E26E5E" w:rsidRDefault="00045708" w:rsidP="00097103">
            <w:pPr>
              <w:ind w:right="-31"/>
              <w:rPr>
                <w:sz w:val="2"/>
                <w:szCs w:val="2"/>
              </w:rPr>
            </w:pPr>
          </w:p>
        </w:tc>
      </w:tr>
      <w:tr w:rsidR="00801198" w:rsidRPr="00335E5A" w14:paraId="655DF14E" w14:textId="77777777">
        <w:trPr>
          <w:trHeight w:val="454"/>
        </w:trPr>
        <w:tc>
          <w:tcPr>
            <w:tcW w:w="1320" w:type="dxa"/>
            <w:tcBorders>
              <w:bottom w:val="nil"/>
            </w:tcBorders>
          </w:tcPr>
          <w:p w14:paraId="655DF14B" w14:textId="77777777" w:rsidR="00801198" w:rsidRPr="00335E5A" w:rsidRDefault="00CA3EFD" w:rsidP="00097103">
            <w:pPr>
              <w:pStyle w:val="TableParagraph"/>
              <w:spacing w:before="118"/>
              <w:ind w:right="-31"/>
              <w:rPr>
                <w:b/>
                <w:sz w:val="24"/>
              </w:rPr>
            </w:pPr>
            <w:r w:rsidRPr="00335E5A">
              <w:rPr>
                <w:b/>
                <w:w w:val="99"/>
                <w:sz w:val="24"/>
              </w:rPr>
              <w:t>6</w:t>
            </w:r>
          </w:p>
        </w:tc>
        <w:tc>
          <w:tcPr>
            <w:tcW w:w="5989" w:type="dxa"/>
            <w:tcBorders>
              <w:bottom w:val="nil"/>
            </w:tcBorders>
          </w:tcPr>
          <w:p w14:paraId="655DF14C" w14:textId="56952468" w:rsidR="00801198" w:rsidRPr="00335E5A" w:rsidRDefault="004574E3" w:rsidP="00097103">
            <w:pPr>
              <w:pStyle w:val="TableParagraph"/>
              <w:spacing w:before="118"/>
              <w:ind w:right="-31"/>
              <w:rPr>
                <w:b/>
                <w:sz w:val="24"/>
              </w:rPr>
            </w:pPr>
            <w:r w:rsidRPr="00335E5A">
              <w:rPr>
                <w:b/>
                <w:sz w:val="24"/>
              </w:rPr>
              <w:t xml:space="preserve">APPEALS AND </w:t>
            </w:r>
            <w:r w:rsidR="00CA3EFD" w:rsidRPr="00335E5A">
              <w:rPr>
                <w:b/>
                <w:sz w:val="24"/>
              </w:rPr>
              <w:t xml:space="preserve">MONITORING </w:t>
            </w:r>
          </w:p>
        </w:tc>
        <w:tc>
          <w:tcPr>
            <w:tcW w:w="1441" w:type="dxa"/>
            <w:vMerge w:val="restart"/>
          </w:tcPr>
          <w:p w14:paraId="655DF14D" w14:textId="5315AE37" w:rsidR="00801198" w:rsidRPr="00335E5A" w:rsidRDefault="00CA3EFD" w:rsidP="00097103">
            <w:pPr>
              <w:pStyle w:val="TableParagraph"/>
              <w:spacing w:before="118"/>
              <w:ind w:right="-31"/>
              <w:rPr>
                <w:sz w:val="24"/>
              </w:rPr>
            </w:pPr>
            <w:r w:rsidRPr="00335E5A">
              <w:rPr>
                <w:sz w:val="24"/>
              </w:rPr>
              <w:t xml:space="preserve">Page </w:t>
            </w:r>
            <w:r w:rsidR="004B03D0">
              <w:rPr>
                <w:sz w:val="24"/>
              </w:rPr>
              <w:t>9</w:t>
            </w:r>
          </w:p>
        </w:tc>
      </w:tr>
      <w:tr w:rsidR="00801198" w:rsidRPr="00335E5A" w14:paraId="655DF152" w14:textId="77777777">
        <w:trPr>
          <w:trHeight w:val="327"/>
        </w:trPr>
        <w:tc>
          <w:tcPr>
            <w:tcW w:w="1320" w:type="dxa"/>
            <w:tcBorders>
              <w:top w:val="nil"/>
              <w:bottom w:val="nil"/>
            </w:tcBorders>
          </w:tcPr>
          <w:p w14:paraId="73560CDB" w14:textId="77777777" w:rsidR="00801198" w:rsidRDefault="00CA3EFD" w:rsidP="00097103">
            <w:pPr>
              <w:pStyle w:val="TableParagraph"/>
              <w:spacing w:before="52" w:line="255" w:lineRule="exact"/>
              <w:ind w:right="-31"/>
              <w:rPr>
                <w:sz w:val="24"/>
              </w:rPr>
            </w:pPr>
            <w:r w:rsidRPr="00335E5A">
              <w:rPr>
                <w:sz w:val="24"/>
              </w:rPr>
              <w:t>6.1</w:t>
            </w:r>
          </w:p>
          <w:p w14:paraId="655DF14F" w14:textId="77777777" w:rsidR="00FE42EE" w:rsidRPr="00335E5A" w:rsidRDefault="00FE42EE" w:rsidP="00097103">
            <w:pPr>
              <w:pStyle w:val="TableParagraph"/>
              <w:spacing w:before="52" w:line="255" w:lineRule="exact"/>
              <w:ind w:right="-31"/>
              <w:rPr>
                <w:sz w:val="24"/>
              </w:rPr>
            </w:pPr>
          </w:p>
        </w:tc>
        <w:tc>
          <w:tcPr>
            <w:tcW w:w="5989" w:type="dxa"/>
            <w:tcBorders>
              <w:top w:val="nil"/>
              <w:bottom w:val="nil"/>
            </w:tcBorders>
          </w:tcPr>
          <w:p w14:paraId="655DF150" w14:textId="77777777" w:rsidR="00801198" w:rsidRPr="00335E5A" w:rsidRDefault="00CA3EFD" w:rsidP="00097103">
            <w:pPr>
              <w:pStyle w:val="TableParagraph"/>
              <w:spacing w:before="52" w:line="255" w:lineRule="exact"/>
              <w:ind w:right="-31"/>
              <w:rPr>
                <w:sz w:val="24"/>
              </w:rPr>
            </w:pPr>
            <w:r w:rsidRPr="00335E5A">
              <w:rPr>
                <w:sz w:val="24"/>
              </w:rPr>
              <w:t>Complaints</w:t>
            </w:r>
          </w:p>
        </w:tc>
        <w:tc>
          <w:tcPr>
            <w:tcW w:w="1441" w:type="dxa"/>
            <w:vMerge/>
            <w:tcBorders>
              <w:top w:val="nil"/>
            </w:tcBorders>
          </w:tcPr>
          <w:p w14:paraId="655DF151" w14:textId="77777777" w:rsidR="00801198" w:rsidRPr="00335E5A" w:rsidRDefault="00801198" w:rsidP="00097103">
            <w:pPr>
              <w:ind w:right="-31"/>
              <w:rPr>
                <w:sz w:val="2"/>
                <w:szCs w:val="2"/>
              </w:rPr>
            </w:pPr>
          </w:p>
        </w:tc>
      </w:tr>
      <w:tr w:rsidR="00801198" w:rsidRPr="00335E5A" w14:paraId="655DF156" w14:textId="77777777">
        <w:trPr>
          <w:trHeight w:val="271"/>
        </w:trPr>
        <w:tc>
          <w:tcPr>
            <w:tcW w:w="1320" w:type="dxa"/>
            <w:tcBorders>
              <w:top w:val="nil"/>
            </w:tcBorders>
          </w:tcPr>
          <w:p w14:paraId="655DF153" w14:textId="77777777" w:rsidR="00801198" w:rsidRPr="00335E5A" w:rsidRDefault="00CA3EFD" w:rsidP="00097103">
            <w:pPr>
              <w:pStyle w:val="TableParagraph"/>
              <w:spacing w:line="251" w:lineRule="exact"/>
              <w:ind w:right="-31"/>
              <w:rPr>
                <w:sz w:val="24"/>
              </w:rPr>
            </w:pPr>
            <w:r w:rsidRPr="00335E5A">
              <w:rPr>
                <w:sz w:val="24"/>
              </w:rPr>
              <w:t>6.2</w:t>
            </w:r>
          </w:p>
        </w:tc>
        <w:tc>
          <w:tcPr>
            <w:tcW w:w="5989" w:type="dxa"/>
            <w:tcBorders>
              <w:top w:val="nil"/>
            </w:tcBorders>
          </w:tcPr>
          <w:p w14:paraId="655DF154" w14:textId="77777777" w:rsidR="00801198" w:rsidRPr="00335E5A" w:rsidRDefault="00CA3EFD" w:rsidP="00097103">
            <w:pPr>
              <w:pStyle w:val="TableParagraph"/>
              <w:spacing w:line="251" w:lineRule="exact"/>
              <w:ind w:right="-31"/>
              <w:rPr>
                <w:sz w:val="24"/>
              </w:rPr>
            </w:pPr>
            <w:r w:rsidRPr="00335E5A">
              <w:rPr>
                <w:sz w:val="24"/>
              </w:rPr>
              <w:t>Monitoring</w:t>
            </w:r>
          </w:p>
        </w:tc>
        <w:tc>
          <w:tcPr>
            <w:tcW w:w="1441" w:type="dxa"/>
            <w:vMerge/>
            <w:tcBorders>
              <w:top w:val="nil"/>
            </w:tcBorders>
          </w:tcPr>
          <w:p w14:paraId="655DF155" w14:textId="77777777" w:rsidR="00801198" w:rsidRPr="00335E5A" w:rsidRDefault="00801198" w:rsidP="00097103">
            <w:pPr>
              <w:ind w:right="-31"/>
              <w:rPr>
                <w:sz w:val="2"/>
                <w:szCs w:val="2"/>
              </w:rPr>
            </w:pPr>
          </w:p>
        </w:tc>
      </w:tr>
      <w:tr w:rsidR="003A6B64" w:rsidRPr="00335E5A" w14:paraId="655DF15A" w14:textId="7524E4B3">
        <w:trPr>
          <w:trHeight w:val="520"/>
        </w:trPr>
        <w:tc>
          <w:tcPr>
            <w:tcW w:w="1320" w:type="dxa"/>
          </w:tcPr>
          <w:p w14:paraId="655DF157" w14:textId="69EEEC47" w:rsidR="003A6B64" w:rsidRPr="00335E5A" w:rsidRDefault="003A6B64" w:rsidP="00097103">
            <w:pPr>
              <w:pStyle w:val="TableParagraph"/>
              <w:spacing w:before="118"/>
              <w:ind w:right="-31"/>
              <w:rPr>
                <w:b/>
                <w:sz w:val="24"/>
              </w:rPr>
            </w:pPr>
            <w:r w:rsidRPr="00335E5A">
              <w:rPr>
                <w:b/>
                <w:w w:val="99"/>
                <w:sz w:val="24"/>
              </w:rPr>
              <w:t>7</w:t>
            </w:r>
          </w:p>
        </w:tc>
        <w:tc>
          <w:tcPr>
            <w:tcW w:w="5989" w:type="dxa"/>
          </w:tcPr>
          <w:p w14:paraId="655DF158" w14:textId="0DEB4639" w:rsidR="003A6B64" w:rsidRPr="00335E5A" w:rsidRDefault="003A6B64" w:rsidP="00097103">
            <w:pPr>
              <w:pStyle w:val="TableParagraph"/>
              <w:spacing w:before="118"/>
              <w:ind w:right="-31"/>
              <w:rPr>
                <w:b/>
                <w:sz w:val="24"/>
              </w:rPr>
            </w:pPr>
            <w:r w:rsidRPr="00335E5A">
              <w:rPr>
                <w:b/>
                <w:sz w:val="24"/>
              </w:rPr>
              <w:t>EQUALITIES</w:t>
            </w:r>
          </w:p>
        </w:tc>
        <w:tc>
          <w:tcPr>
            <w:tcW w:w="1441" w:type="dxa"/>
          </w:tcPr>
          <w:p w14:paraId="655DF159" w14:textId="4D1A2AF0" w:rsidR="003A6B64" w:rsidRPr="00335E5A" w:rsidRDefault="003A6B64" w:rsidP="00097103">
            <w:pPr>
              <w:pStyle w:val="TableParagraph"/>
              <w:spacing w:before="118"/>
              <w:ind w:right="-31"/>
              <w:rPr>
                <w:sz w:val="24"/>
              </w:rPr>
            </w:pPr>
            <w:r w:rsidRPr="00335E5A">
              <w:rPr>
                <w:sz w:val="24"/>
              </w:rPr>
              <w:t xml:space="preserve">Page </w:t>
            </w:r>
            <w:r w:rsidR="004D258A">
              <w:rPr>
                <w:sz w:val="24"/>
              </w:rPr>
              <w:t>9</w:t>
            </w:r>
          </w:p>
        </w:tc>
      </w:tr>
      <w:tr w:rsidR="003A6B64" w:rsidRPr="00335E5A" w14:paraId="655DF15E" w14:textId="75676303">
        <w:trPr>
          <w:trHeight w:val="522"/>
        </w:trPr>
        <w:tc>
          <w:tcPr>
            <w:tcW w:w="1320" w:type="dxa"/>
          </w:tcPr>
          <w:p w14:paraId="655DF15B" w14:textId="23668DD5" w:rsidR="003A6B64" w:rsidRPr="00335E5A" w:rsidRDefault="003A6B64" w:rsidP="00097103">
            <w:pPr>
              <w:pStyle w:val="TableParagraph"/>
              <w:spacing w:before="118"/>
              <w:ind w:right="-31"/>
              <w:rPr>
                <w:b/>
                <w:sz w:val="24"/>
              </w:rPr>
            </w:pPr>
            <w:r w:rsidRPr="00335E5A">
              <w:rPr>
                <w:b/>
                <w:w w:val="99"/>
                <w:sz w:val="24"/>
              </w:rPr>
              <w:t>8</w:t>
            </w:r>
          </w:p>
        </w:tc>
        <w:tc>
          <w:tcPr>
            <w:tcW w:w="5989" w:type="dxa"/>
          </w:tcPr>
          <w:p w14:paraId="655DF15C" w14:textId="305BDFF3" w:rsidR="003A6B64" w:rsidRPr="00335E5A" w:rsidRDefault="003A6B64" w:rsidP="00097103">
            <w:pPr>
              <w:pStyle w:val="TableParagraph"/>
              <w:spacing w:before="118"/>
              <w:ind w:right="-31"/>
              <w:rPr>
                <w:b/>
                <w:sz w:val="24"/>
              </w:rPr>
            </w:pPr>
            <w:r w:rsidRPr="00335E5A">
              <w:rPr>
                <w:b/>
                <w:sz w:val="24"/>
              </w:rPr>
              <w:t>CONSULTATION</w:t>
            </w:r>
          </w:p>
        </w:tc>
        <w:tc>
          <w:tcPr>
            <w:tcW w:w="1441" w:type="dxa"/>
          </w:tcPr>
          <w:p w14:paraId="655DF15D" w14:textId="40E7770F" w:rsidR="003A6B64" w:rsidRPr="00335E5A" w:rsidRDefault="004B0AAA" w:rsidP="00097103">
            <w:pPr>
              <w:pStyle w:val="TableParagraph"/>
              <w:spacing w:before="118"/>
              <w:ind w:right="-31"/>
              <w:rPr>
                <w:sz w:val="24"/>
              </w:rPr>
            </w:pPr>
            <w:r>
              <w:rPr>
                <w:sz w:val="24"/>
              </w:rPr>
              <w:t xml:space="preserve">Page </w:t>
            </w:r>
            <w:r w:rsidR="004B03D0">
              <w:rPr>
                <w:sz w:val="24"/>
              </w:rPr>
              <w:t>9</w:t>
            </w:r>
          </w:p>
        </w:tc>
      </w:tr>
    </w:tbl>
    <w:p w14:paraId="655DF15F" w14:textId="77777777" w:rsidR="00801198" w:rsidRPr="00335E5A" w:rsidRDefault="00801198" w:rsidP="00097103">
      <w:pPr>
        <w:ind w:right="-31"/>
        <w:rPr>
          <w:sz w:val="24"/>
        </w:rPr>
        <w:sectPr w:rsidR="00801198" w:rsidRPr="00335E5A" w:rsidSect="00FE42EE">
          <w:pgSz w:w="11910" w:h="16840"/>
          <w:pgMar w:top="1440" w:right="1080" w:bottom="1440" w:left="1080" w:header="0" w:footer="674" w:gutter="0"/>
          <w:cols w:space="720"/>
          <w:docGrid w:linePitch="299"/>
        </w:sectPr>
      </w:pPr>
    </w:p>
    <w:p w14:paraId="655DF160" w14:textId="77777777" w:rsidR="00801198" w:rsidRPr="00AC5278" w:rsidRDefault="00CA3EFD" w:rsidP="00097103">
      <w:pPr>
        <w:pStyle w:val="Heading1"/>
        <w:numPr>
          <w:ilvl w:val="0"/>
          <w:numId w:val="6"/>
        </w:numPr>
        <w:tabs>
          <w:tab w:val="left" w:pos="760"/>
          <w:tab w:val="left" w:pos="761"/>
        </w:tabs>
        <w:spacing w:before="113"/>
        <w:ind w:right="-31"/>
      </w:pPr>
      <w:r w:rsidRPr="00AC5278">
        <w:lastRenderedPageBreak/>
        <w:t>INTRODUCTION</w:t>
      </w:r>
    </w:p>
    <w:p w14:paraId="655DF161" w14:textId="77777777" w:rsidR="00801198" w:rsidRPr="00916957" w:rsidRDefault="00801198" w:rsidP="00097103">
      <w:pPr>
        <w:pStyle w:val="BodyText"/>
        <w:ind w:right="-31"/>
        <w:rPr>
          <w:b/>
        </w:rPr>
      </w:pPr>
    </w:p>
    <w:p w14:paraId="655DF162" w14:textId="4505CC6F" w:rsidR="00801198" w:rsidRPr="00335E5A" w:rsidRDefault="00CA3EFD" w:rsidP="001A407E">
      <w:pPr>
        <w:pStyle w:val="BodyText"/>
        <w:ind w:left="220" w:right="-31"/>
        <w:jc w:val="both"/>
      </w:pPr>
      <w:r w:rsidRPr="00335E5A">
        <w:t xml:space="preserve">Rotherham Metropolitan Borough Council </w:t>
      </w:r>
      <w:r w:rsidR="00167655" w:rsidRPr="00335E5A">
        <w:t xml:space="preserve">(RMBC) </w:t>
      </w:r>
      <w:r w:rsidRPr="00335E5A">
        <w:t xml:space="preserve">is committed to improving access to suitable accommodation. </w:t>
      </w:r>
      <w:r w:rsidR="006153E7" w:rsidRPr="00335E5A">
        <w:t>The Council</w:t>
      </w:r>
      <w:r w:rsidRPr="00335E5A">
        <w:t xml:space="preserve"> tr</w:t>
      </w:r>
      <w:r w:rsidR="006153E7" w:rsidRPr="00335E5A">
        <w:t>ies</w:t>
      </w:r>
      <w:r w:rsidRPr="00335E5A">
        <w:t xml:space="preserve"> to make the best use of </w:t>
      </w:r>
      <w:r w:rsidR="006153E7" w:rsidRPr="00335E5A">
        <w:t xml:space="preserve">its </w:t>
      </w:r>
      <w:r w:rsidRPr="00335E5A">
        <w:t>housing stock and ensure</w:t>
      </w:r>
      <w:r w:rsidR="00167655" w:rsidRPr="00335E5A">
        <w:t>s</w:t>
      </w:r>
      <w:r w:rsidRPr="00335E5A">
        <w:t xml:space="preserve"> that vulnerable tenants live in suitable accommodation. </w:t>
      </w:r>
      <w:r w:rsidR="006153E7" w:rsidRPr="00335E5A">
        <w:t>This</w:t>
      </w:r>
      <w:r w:rsidRPr="00335E5A">
        <w:t xml:space="preserve"> Strategic Tenancy Policy sets out how </w:t>
      </w:r>
      <w:r w:rsidR="006153E7" w:rsidRPr="00335E5A">
        <w:t xml:space="preserve">the Council </w:t>
      </w:r>
      <w:r w:rsidRPr="00335E5A">
        <w:t>will continue to achieve these outcomes.</w:t>
      </w:r>
    </w:p>
    <w:p w14:paraId="655DF163" w14:textId="77777777" w:rsidR="00801198" w:rsidRPr="00335E5A" w:rsidRDefault="00801198" w:rsidP="001A407E">
      <w:pPr>
        <w:pStyle w:val="BodyText"/>
        <w:ind w:right="-31"/>
        <w:jc w:val="both"/>
      </w:pPr>
    </w:p>
    <w:p w14:paraId="655DF164" w14:textId="1B5F7A10" w:rsidR="00801198" w:rsidRPr="00335E5A" w:rsidRDefault="00CA3EFD" w:rsidP="001A407E">
      <w:pPr>
        <w:pStyle w:val="BodyText"/>
        <w:spacing w:before="1"/>
        <w:ind w:left="220" w:right="-31"/>
        <w:jc w:val="both"/>
      </w:pPr>
      <w:r w:rsidRPr="00335E5A">
        <w:t xml:space="preserve">There are significant changes taking place in social housing policy and this document underpins the basis for the changes </w:t>
      </w:r>
      <w:r w:rsidR="006153E7" w:rsidRPr="00335E5A">
        <w:t xml:space="preserve">which the Council </w:t>
      </w:r>
      <w:r w:rsidRPr="00335E5A">
        <w:t>will implement and gives guidance to registered provider partners who are active in the borough.</w:t>
      </w:r>
    </w:p>
    <w:p w14:paraId="655DF165" w14:textId="77777777" w:rsidR="00801198" w:rsidRPr="00335E5A" w:rsidRDefault="00801198" w:rsidP="001A407E">
      <w:pPr>
        <w:pStyle w:val="BodyText"/>
        <w:spacing w:before="11"/>
        <w:ind w:right="-31"/>
        <w:jc w:val="both"/>
        <w:rPr>
          <w:sz w:val="23"/>
        </w:rPr>
      </w:pPr>
    </w:p>
    <w:p w14:paraId="655DF166" w14:textId="16B022D5" w:rsidR="00801198" w:rsidRPr="00335E5A" w:rsidRDefault="00CA3EFD" w:rsidP="001A407E">
      <w:pPr>
        <w:pStyle w:val="BodyText"/>
        <w:ind w:left="220" w:right="-31"/>
        <w:jc w:val="both"/>
      </w:pPr>
      <w:r w:rsidRPr="00335E5A">
        <w:t>This Tenancy Strategy has been drawn up in consultation with our registered provider partners, stakeholder organisations, elected members, tenants and residents</w:t>
      </w:r>
      <w:r w:rsidR="001A407E">
        <w:t>,</w:t>
      </w:r>
      <w:r w:rsidRPr="00335E5A">
        <w:t xml:space="preserve"> and community groups.</w:t>
      </w:r>
    </w:p>
    <w:p w14:paraId="655DF167" w14:textId="77777777" w:rsidR="00801198" w:rsidRPr="00335E5A" w:rsidRDefault="00801198" w:rsidP="00097103">
      <w:pPr>
        <w:pStyle w:val="BodyText"/>
        <w:spacing w:before="1"/>
        <w:ind w:right="-31"/>
      </w:pPr>
    </w:p>
    <w:p w14:paraId="655DF168" w14:textId="77777777" w:rsidR="00801198" w:rsidRPr="00335E5A" w:rsidRDefault="00CA3EFD" w:rsidP="00097103">
      <w:pPr>
        <w:pStyle w:val="Heading1"/>
        <w:numPr>
          <w:ilvl w:val="0"/>
          <w:numId w:val="6"/>
        </w:numPr>
        <w:tabs>
          <w:tab w:val="left" w:pos="760"/>
          <w:tab w:val="left" w:pos="761"/>
        </w:tabs>
        <w:ind w:right="-31"/>
      </w:pPr>
      <w:r w:rsidRPr="00335E5A">
        <w:t>BACKGROUND</w:t>
      </w:r>
    </w:p>
    <w:p w14:paraId="655DF169" w14:textId="77777777" w:rsidR="00801198" w:rsidRPr="00335E5A" w:rsidRDefault="00801198" w:rsidP="00097103">
      <w:pPr>
        <w:pStyle w:val="BodyText"/>
        <w:ind w:right="-31"/>
        <w:rPr>
          <w:b/>
        </w:rPr>
      </w:pPr>
    </w:p>
    <w:p w14:paraId="655DF16B" w14:textId="54608363" w:rsidR="00801198" w:rsidRDefault="00A25244" w:rsidP="001A407E">
      <w:pPr>
        <w:pStyle w:val="BodyText"/>
        <w:ind w:left="220" w:right="-31"/>
        <w:jc w:val="both"/>
      </w:pPr>
      <w:r w:rsidRPr="00A25244">
        <w:t>The Localism Act 2011 introduced flexibilities which allow registered providers (including local authorities and registered social landlords) increased flexibility in the way they allocate and provide tenancies</w:t>
      </w:r>
      <w:r>
        <w:t xml:space="preserve">. </w:t>
      </w:r>
    </w:p>
    <w:p w14:paraId="08648B4A" w14:textId="77777777" w:rsidR="00A25244" w:rsidRPr="00335E5A" w:rsidRDefault="00A25244" w:rsidP="001A407E">
      <w:pPr>
        <w:pStyle w:val="BodyText"/>
        <w:ind w:right="-31"/>
        <w:jc w:val="both"/>
      </w:pPr>
    </w:p>
    <w:p w14:paraId="655DF16C" w14:textId="45546056" w:rsidR="00801198" w:rsidRPr="00335E5A" w:rsidRDefault="00CA3EFD" w:rsidP="001A407E">
      <w:pPr>
        <w:pStyle w:val="BodyText"/>
        <w:ind w:left="220" w:right="-31"/>
        <w:jc w:val="both"/>
      </w:pPr>
      <w:r w:rsidRPr="00335E5A">
        <w:t>This document sets out Rotherham Metropolitan Borough Council’s position in relation to its housing tenanc</w:t>
      </w:r>
      <w:r w:rsidR="000435AD" w:rsidRPr="00335E5A">
        <w:t>y agreements</w:t>
      </w:r>
      <w:r w:rsidRPr="00335E5A">
        <w:t>, and guidance to which registered provider partners should have ‘due regard</w:t>
      </w:r>
      <w:r w:rsidR="005B4584" w:rsidRPr="00335E5A">
        <w:t>,’</w:t>
      </w:r>
      <w:r w:rsidRPr="00335E5A">
        <w:t xml:space="preserve"> in relation to</w:t>
      </w:r>
      <w:r w:rsidR="00EF274B">
        <w:t>:</w:t>
      </w:r>
    </w:p>
    <w:p w14:paraId="655DF16D" w14:textId="77777777" w:rsidR="00801198" w:rsidRPr="00335E5A" w:rsidRDefault="00801198" w:rsidP="00097103">
      <w:pPr>
        <w:pStyle w:val="BodyText"/>
        <w:spacing w:before="1"/>
        <w:ind w:right="-31"/>
      </w:pPr>
    </w:p>
    <w:p w14:paraId="655DF16E" w14:textId="74FC27F5" w:rsidR="00801198" w:rsidRPr="00335E5A" w:rsidRDefault="00CA3EFD" w:rsidP="00097103">
      <w:pPr>
        <w:pStyle w:val="ListParagraph"/>
        <w:numPr>
          <w:ilvl w:val="1"/>
          <w:numId w:val="6"/>
        </w:numPr>
        <w:tabs>
          <w:tab w:val="left" w:pos="1300"/>
          <w:tab w:val="left" w:pos="1301"/>
        </w:tabs>
        <w:spacing w:line="292" w:lineRule="exact"/>
        <w:ind w:right="-31"/>
        <w:rPr>
          <w:sz w:val="24"/>
        </w:rPr>
      </w:pPr>
      <w:r w:rsidRPr="00335E5A">
        <w:rPr>
          <w:sz w:val="24"/>
        </w:rPr>
        <w:t>The types of tenancies granted across the</w:t>
      </w:r>
      <w:r w:rsidRPr="00335E5A">
        <w:rPr>
          <w:spacing w:val="-7"/>
          <w:sz w:val="24"/>
        </w:rPr>
        <w:t xml:space="preserve"> </w:t>
      </w:r>
      <w:r w:rsidR="001A407E" w:rsidRPr="00335E5A">
        <w:rPr>
          <w:sz w:val="24"/>
        </w:rPr>
        <w:t>Borough.</w:t>
      </w:r>
    </w:p>
    <w:p w14:paraId="655DF16F" w14:textId="0895C61D" w:rsidR="00801198" w:rsidRPr="00335E5A" w:rsidRDefault="00CA3EFD" w:rsidP="00097103">
      <w:pPr>
        <w:pStyle w:val="ListParagraph"/>
        <w:numPr>
          <w:ilvl w:val="1"/>
          <w:numId w:val="6"/>
        </w:numPr>
        <w:tabs>
          <w:tab w:val="left" w:pos="1300"/>
          <w:tab w:val="left" w:pos="1301"/>
        </w:tabs>
        <w:spacing w:line="292" w:lineRule="exact"/>
        <w:ind w:right="-31"/>
        <w:rPr>
          <w:sz w:val="24"/>
        </w:rPr>
      </w:pPr>
      <w:r w:rsidRPr="00335E5A">
        <w:rPr>
          <w:sz w:val="24"/>
        </w:rPr>
        <w:t>The length of fixed term tenancies, when</w:t>
      </w:r>
      <w:r w:rsidRPr="00335E5A">
        <w:rPr>
          <w:spacing w:val="-1"/>
          <w:sz w:val="24"/>
        </w:rPr>
        <w:t xml:space="preserve"> </w:t>
      </w:r>
      <w:r w:rsidRPr="00335E5A">
        <w:rPr>
          <w:sz w:val="24"/>
        </w:rPr>
        <w:t>used</w:t>
      </w:r>
      <w:r w:rsidR="001A407E">
        <w:rPr>
          <w:sz w:val="24"/>
        </w:rPr>
        <w:t>.</w:t>
      </w:r>
    </w:p>
    <w:p w14:paraId="655DF170" w14:textId="74DDED6C" w:rsidR="00801198" w:rsidRPr="00335E5A" w:rsidRDefault="00CA3EFD" w:rsidP="00097103">
      <w:pPr>
        <w:pStyle w:val="ListParagraph"/>
        <w:numPr>
          <w:ilvl w:val="1"/>
          <w:numId w:val="6"/>
        </w:numPr>
        <w:tabs>
          <w:tab w:val="left" w:pos="1300"/>
          <w:tab w:val="left" w:pos="1301"/>
        </w:tabs>
        <w:ind w:right="-31"/>
        <w:rPr>
          <w:sz w:val="24"/>
        </w:rPr>
      </w:pPr>
      <w:r w:rsidRPr="00335E5A">
        <w:rPr>
          <w:sz w:val="24"/>
        </w:rPr>
        <w:t>Circumstances under which a further fixed term tenancy will</w:t>
      </w:r>
      <w:r w:rsidRPr="00335E5A">
        <w:rPr>
          <w:spacing w:val="-27"/>
          <w:sz w:val="24"/>
        </w:rPr>
        <w:t xml:space="preserve"> </w:t>
      </w:r>
      <w:r w:rsidRPr="00335E5A">
        <w:rPr>
          <w:sz w:val="24"/>
        </w:rPr>
        <w:t>be issued</w:t>
      </w:r>
      <w:r w:rsidR="001A407E">
        <w:rPr>
          <w:sz w:val="24"/>
        </w:rPr>
        <w:t>.</w:t>
      </w:r>
    </w:p>
    <w:p w14:paraId="655DF171" w14:textId="00EA2C7E" w:rsidR="00801198" w:rsidRPr="00AC5278" w:rsidRDefault="00CA3EFD" w:rsidP="00097103">
      <w:pPr>
        <w:pStyle w:val="ListParagraph"/>
        <w:numPr>
          <w:ilvl w:val="1"/>
          <w:numId w:val="6"/>
        </w:numPr>
        <w:tabs>
          <w:tab w:val="left" w:pos="1300"/>
          <w:tab w:val="left" w:pos="1301"/>
        </w:tabs>
        <w:ind w:right="-31"/>
        <w:rPr>
          <w:sz w:val="24"/>
        </w:rPr>
      </w:pPr>
      <w:r w:rsidRPr="00335E5A">
        <w:rPr>
          <w:sz w:val="24"/>
        </w:rPr>
        <w:t>Circumstances under which a permanent secure tenancy will</w:t>
      </w:r>
      <w:r w:rsidRPr="00335E5A">
        <w:rPr>
          <w:spacing w:val="-26"/>
          <w:sz w:val="24"/>
        </w:rPr>
        <w:t xml:space="preserve"> </w:t>
      </w:r>
      <w:r w:rsidRPr="00335E5A">
        <w:rPr>
          <w:sz w:val="24"/>
        </w:rPr>
        <w:t>be issued</w:t>
      </w:r>
      <w:r w:rsidR="002D2C70">
        <w:rPr>
          <w:sz w:val="24"/>
        </w:rPr>
        <w:t xml:space="preserve"> at the end of a fixed term tenancy</w:t>
      </w:r>
      <w:r w:rsidR="001A407E">
        <w:rPr>
          <w:sz w:val="24"/>
        </w:rPr>
        <w:t>.</w:t>
      </w:r>
    </w:p>
    <w:p w14:paraId="655DF173" w14:textId="32B992C0" w:rsidR="00801198" w:rsidRPr="00916957" w:rsidRDefault="00CA3EFD" w:rsidP="00097103">
      <w:pPr>
        <w:pStyle w:val="ListParagraph"/>
        <w:numPr>
          <w:ilvl w:val="1"/>
          <w:numId w:val="6"/>
        </w:numPr>
        <w:tabs>
          <w:tab w:val="left" w:pos="1300"/>
          <w:tab w:val="left" w:pos="1301"/>
        </w:tabs>
        <w:spacing w:line="292" w:lineRule="exact"/>
        <w:ind w:right="-31"/>
        <w:rPr>
          <w:sz w:val="24"/>
        </w:rPr>
      </w:pPr>
      <w:r w:rsidRPr="00AC5278">
        <w:rPr>
          <w:sz w:val="24"/>
        </w:rPr>
        <w:t>The impact fixed term tenancies will have on mutual</w:t>
      </w:r>
      <w:r w:rsidRPr="00916957">
        <w:rPr>
          <w:spacing w:val="-16"/>
          <w:sz w:val="24"/>
        </w:rPr>
        <w:t xml:space="preserve"> </w:t>
      </w:r>
      <w:r w:rsidRPr="00916957">
        <w:rPr>
          <w:sz w:val="24"/>
        </w:rPr>
        <w:t>exchange</w:t>
      </w:r>
      <w:r w:rsidR="001A407E">
        <w:rPr>
          <w:sz w:val="24"/>
        </w:rPr>
        <w:t>.</w:t>
      </w:r>
    </w:p>
    <w:p w14:paraId="655DF174" w14:textId="77777777" w:rsidR="00801198" w:rsidRPr="00335E5A" w:rsidRDefault="00801198" w:rsidP="00097103">
      <w:pPr>
        <w:pStyle w:val="BodyText"/>
        <w:spacing w:before="8"/>
        <w:ind w:right="-31"/>
        <w:rPr>
          <w:sz w:val="23"/>
        </w:rPr>
      </w:pPr>
    </w:p>
    <w:p w14:paraId="7E606296" w14:textId="4C3B03A1" w:rsidR="000435AD" w:rsidRDefault="00A25244" w:rsidP="001A407E">
      <w:pPr>
        <w:pStyle w:val="BodyText"/>
        <w:ind w:left="221" w:right="-31"/>
        <w:jc w:val="both"/>
      </w:pPr>
      <w:r w:rsidRPr="00A25244">
        <w:t>The majority of tenancies issued by social landlords are either assured tenancies, issued by registered social landlords, or periodic (also known as lifetime) tenancies, issued by local authorities</w:t>
      </w:r>
      <w:r w:rsidR="005B4584" w:rsidRPr="00A25244">
        <w:t xml:space="preserve">. </w:t>
      </w:r>
      <w:r w:rsidRPr="00A25244">
        <w:t>Provided that the tenancy conditions are met, these two types of tenancy provide long term security of tenure to social housing tenants</w:t>
      </w:r>
      <w:r w:rsidR="005B4584" w:rsidRPr="00A25244">
        <w:t xml:space="preserve">. </w:t>
      </w:r>
      <w:r w:rsidRPr="00A25244">
        <w:t>Nonetheless, households needs and circumstances change over time and the immediate need which informed the original allocation of a property may not be relevant in the future.</w:t>
      </w:r>
    </w:p>
    <w:p w14:paraId="25BC7094" w14:textId="77777777" w:rsidR="00A25244" w:rsidRPr="00335E5A" w:rsidRDefault="00A25244" w:rsidP="001A407E">
      <w:pPr>
        <w:pStyle w:val="BodyText"/>
        <w:ind w:left="221" w:right="-31"/>
        <w:jc w:val="both"/>
      </w:pPr>
    </w:p>
    <w:p w14:paraId="655DF179" w14:textId="538A0836" w:rsidR="00801198" w:rsidRDefault="000435AD" w:rsidP="001A407E">
      <w:pPr>
        <w:pStyle w:val="BodyText"/>
        <w:ind w:left="221" w:right="-31"/>
        <w:jc w:val="both"/>
      </w:pPr>
      <w:r w:rsidRPr="00335E5A">
        <w:t>T</w:t>
      </w:r>
      <w:r w:rsidR="00CA3EFD" w:rsidRPr="00335E5A">
        <w:t>his tenancy strategy has been written in a way to ensure that it is flexible enough to meet the challenge</w:t>
      </w:r>
      <w:r w:rsidRPr="00335E5A">
        <w:t xml:space="preserve"> of making the best use of valu</w:t>
      </w:r>
      <w:r w:rsidR="002D2C70">
        <w:t>able</w:t>
      </w:r>
      <w:r w:rsidRPr="00AC5278">
        <w:t xml:space="preserve"> council housing </w:t>
      </w:r>
      <w:r w:rsidR="00CA3EFD" w:rsidRPr="00335E5A">
        <w:t>whilst continuing to support sustainable communities.</w:t>
      </w:r>
    </w:p>
    <w:p w14:paraId="3B71A6B2" w14:textId="77777777" w:rsidR="00FE42EE" w:rsidRPr="00AC5278" w:rsidRDefault="00FE42EE" w:rsidP="00A25244">
      <w:pPr>
        <w:pStyle w:val="BodyText"/>
        <w:ind w:right="-31"/>
      </w:pPr>
    </w:p>
    <w:p w14:paraId="655DF17A" w14:textId="77777777" w:rsidR="00801198" w:rsidRPr="00AC5278" w:rsidRDefault="00801198" w:rsidP="00097103">
      <w:pPr>
        <w:pStyle w:val="BodyText"/>
        <w:ind w:right="-31"/>
      </w:pPr>
    </w:p>
    <w:p w14:paraId="655DF17B" w14:textId="33CEE03A" w:rsidR="00801198" w:rsidRPr="00916957" w:rsidRDefault="00AA0F92" w:rsidP="00097103">
      <w:pPr>
        <w:pStyle w:val="Heading1"/>
        <w:numPr>
          <w:ilvl w:val="0"/>
          <w:numId w:val="6"/>
        </w:numPr>
        <w:tabs>
          <w:tab w:val="left" w:pos="760"/>
          <w:tab w:val="left" w:pos="761"/>
        </w:tabs>
        <w:spacing w:before="1"/>
        <w:ind w:right="-31"/>
      </w:pPr>
      <w:r>
        <w:t xml:space="preserve">LOCAL </w:t>
      </w:r>
      <w:r w:rsidR="00CA3EFD" w:rsidRPr="00916957">
        <w:t>STRATEGIC</w:t>
      </w:r>
      <w:r w:rsidR="00CA3EFD" w:rsidRPr="00916957">
        <w:rPr>
          <w:spacing w:val="-1"/>
        </w:rPr>
        <w:t xml:space="preserve"> </w:t>
      </w:r>
      <w:r w:rsidR="00CA3EFD" w:rsidRPr="00916957">
        <w:t>CONTEXT</w:t>
      </w:r>
    </w:p>
    <w:p w14:paraId="655DF18E" w14:textId="77777777" w:rsidR="00801198" w:rsidRPr="00AC5278" w:rsidRDefault="00801198" w:rsidP="00097103">
      <w:pPr>
        <w:pStyle w:val="BodyText"/>
        <w:ind w:right="-31"/>
        <w:rPr>
          <w:b/>
        </w:rPr>
      </w:pPr>
    </w:p>
    <w:p w14:paraId="655DF18F" w14:textId="27EA130D" w:rsidR="00801198" w:rsidRPr="00916957" w:rsidRDefault="00CA3EFD" w:rsidP="001A407E">
      <w:pPr>
        <w:pStyle w:val="BodyText"/>
        <w:ind w:left="760" w:right="-31"/>
        <w:jc w:val="both"/>
      </w:pPr>
      <w:r w:rsidRPr="00916957">
        <w:t>Rotherham’s Strategic Tenancy Policy has been developed within the context of the Borough Council’s overarching strategic objectives for housing, as set out in</w:t>
      </w:r>
      <w:r w:rsidR="004B0AAA">
        <w:t>:</w:t>
      </w:r>
    </w:p>
    <w:p w14:paraId="655DF190" w14:textId="77777777" w:rsidR="00801198" w:rsidRPr="00335E5A" w:rsidRDefault="00801198" w:rsidP="001A407E">
      <w:pPr>
        <w:pStyle w:val="BodyText"/>
        <w:ind w:right="-31"/>
        <w:jc w:val="both"/>
      </w:pPr>
    </w:p>
    <w:p w14:paraId="4892415A" w14:textId="77777777" w:rsidR="00FE42EE" w:rsidRDefault="00E46FC1" w:rsidP="001A407E">
      <w:pPr>
        <w:pStyle w:val="ListParagraph"/>
        <w:numPr>
          <w:ilvl w:val="2"/>
          <w:numId w:val="5"/>
        </w:numPr>
        <w:tabs>
          <w:tab w:val="left" w:pos="1480"/>
          <w:tab w:val="left" w:pos="1481"/>
        </w:tabs>
        <w:ind w:left="1418" w:right="-31"/>
        <w:jc w:val="both"/>
        <w:rPr>
          <w:sz w:val="24"/>
          <w:szCs w:val="24"/>
        </w:rPr>
      </w:pPr>
      <w:r w:rsidRPr="00335E5A">
        <w:rPr>
          <w:sz w:val="24"/>
          <w:szCs w:val="24"/>
        </w:rPr>
        <w:lastRenderedPageBreak/>
        <w:t>Rotherham’s Neighbourhood Strategy, 2018 – 2025</w:t>
      </w:r>
    </w:p>
    <w:p w14:paraId="2BA68EE9" w14:textId="48B6920E" w:rsidR="00FE42EE" w:rsidRDefault="00ED33F1" w:rsidP="001A407E">
      <w:pPr>
        <w:pStyle w:val="ListParagraph"/>
        <w:numPr>
          <w:ilvl w:val="2"/>
          <w:numId w:val="20"/>
        </w:numPr>
        <w:tabs>
          <w:tab w:val="left" w:pos="1480"/>
          <w:tab w:val="left" w:pos="1481"/>
        </w:tabs>
        <w:ind w:right="-31"/>
        <w:jc w:val="both"/>
        <w:rPr>
          <w:sz w:val="24"/>
          <w:szCs w:val="24"/>
        </w:rPr>
      </w:pPr>
      <w:r w:rsidRPr="00FE42EE">
        <w:rPr>
          <w:sz w:val="24"/>
          <w:szCs w:val="24"/>
        </w:rPr>
        <w:t xml:space="preserve">People from different backgrounds have the chance to </w:t>
      </w:r>
      <w:r w:rsidR="001A407E" w:rsidRPr="00FE42EE">
        <w:rPr>
          <w:sz w:val="24"/>
          <w:szCs w:val="24"/>
        </w:rPr>
        <w:t>interact.</w:t>
      </w:r>
    </w:p>
    <w:p w14:paraId="6EB0B83B" w14:textId="3C2328C8" w:rsidR="00ED33F1" w:rsidRPr="00FE42EE" w:rsidRDefault="00ED33F1" w:rsidP="001A407E">
      <w:pPr>
        <w:pStyle w:val="ListParagraph"/>
        <w:numPr>
          <w:ilvl w:val="2"/>
          <w:numId w:val="20"/>
        </w:numPr>
        <w:tabs>
          <w:tab w:val="left" w:pos="1480"/>
          <w:tab w:val="left" w:pos="1481"/>
        </w:tabs>
        <w:ind w:right="-31"/>
        <w:jc w:val="both"/>
        <w:rPr>
          <w:sz w:val="24"/>
          <w:szCs w:val="24"/>
        </w:rPr>
      </w:pPr>
      <w:r w:rsidRPr="00FE42EE">
        <w:rPr>
          <w:sz w:val="24"/>
          <w:szCs w:val="24"/>
        </w:rPr>
        <w:t xml:space="preserve">Vulnerable people are </w:t>
      </w:r>
      <w:r w:rsidR="001A407E" w:rsidRPr="00FE42EE">
        <w:rPr>
          <w:sz w:val="24"/>
          <w:szCs w:val="24"/>
        </w:rPr>
        <w:t>protected.</w:t>
      </w:r>
    </w:p>
    <w:p w14:paraId="1E8F6E4E" w14:textId="77777777" w:rsidR="00E46FC1" w:rsidRPr="00916957" w:rsidRDefault="00E46FC1" w:rsidP="001A407E">
      <w:pPr>
        <w:pStyle w:val="ListParagraph"/>
        <w:tabs>
          <w:tab w:val="left" w:pos="1480"/>
          <w:tab w:val="left" w:pos="1481"/>
        </w:tabs>
        <w:spacing w:before="1"/>
        <w:ind w:left="1418" w:right="-31" w:firstLine="0"/>
        <w:jc w:val="both"/>
      </w:pPr>
    </w:p>
    <w:p w14:paraId="103A3F2C" w14:textId="77777777" w:rsidR="00FE42EE" w:rsidRPr="00FE42EE" w:rsidRDefault="00CA3EFD" w:rsidP="001A407E">
      <w:pPr>
        <w:pStyle w:val="ListParagraph"/>
        <w:numPr>
          <w:ilvl w:val="2"/>
          <w:numId w:val="5"/>
        </w:numPr>
        <w:tabs>
          <w:tab w:val="left" w:pos="1480"/>
          <w:tab w:val="left" w:pos="1481"/>
        </w:tabs>
        <w:spacing w:before="1"/>
        <w:ind w:left="1418" w:right="-31"/>
        <w:jc w:val="both"/>
      </w:pPr>
      <w:r w:rsidRPr="00AC5278">
        <w:rPr>
          <w:sz w:val="24"/>
        </w:rPr>
        <w:t>Rotherham’s Housing</w:t>
      </w:r>
      <w:r w:rsidRPr="00AC5278">
        <w:rPr>
          <w:spacing w:val="-2"/>
          <w:sz w:val="24"/>
        </w:rPr>
        <w:t xml:space="preserve"> </w:t>
      </w:r>
      <w:r w:rsidRPr="00AC5278">
        <w:rPr>
          <w:sz w:val="24"/>
        </w:rPr>
        <w:t>Strategy</w:t>
      </w:r>
      <w:r w:rsidR="00E46FC1" w:rsidRPr="00916957">
        <w:rPr>
          <w:sz w:val="24"/>
        </w:rPr>
        <w:t xml:space="preserve">, </w:t>
      </w:r>
      <w:r w:rsidR="00522745">
        <w:rPr>
          <w:sz w:val="24"/>
        </w:rPr>
        <w:t>2022 - 2025</w:t>
      </w:r>
      <w:r w:rsidRPr="00916957">
        <w:rPr>
          <w:sz w:val="24"/>
        </w:rPr>
        <w:t>:</w:t>
      </w:r>
    </w:p>
    <w:p w14:paraId="737E8534" w14:textId="56241C75" w:rsidR="00167655" w:rsidRPr="00FE42EE" w:rsidRDefault="00371E04" w:rsidP="001A407E">
      <w:pPr>
        <w:pStyle w:val="ListParagraph"/>
        <w:numPr>
          <w:ilvl w:val="2"/>
          <w:numId w:val="21"/>
        </w:numPr>
        <w:tabs>
          <w:tab w:val="left" w:pos="1480"/>
          <w:tab w:val="left" w:pos="1481"/>
        </w:tabs>
        <w:spacing w:before="1"/>
        <w:ind w:right="-31"/>
        <w:jc w:val="both"/>
      </w:pPr>
      <w:r w:rsidRPr="00FE42EE">
        <w:rPr>
          <w:sz w:val="24"/>
        </w:rPr>
        <w:t>Priority 5</w:t>
      </w:r>
      <w:r w:rsidR="00167655" w:rsidRPr="00FE42EE">
        <w:rPr>
          <w:sz w:val="24"/>
        </w:rPr>
        <w:t xml:space="preserve"> - </w:t>
      </w:r>
      <w:r w:rsidRPr="00FE42EE">
        <w:rPr>
          <w:sz w:val="24"/>
        </w:rPr>
        <w:t xml:space="preserve">Supporting people to live </w:t>
      </w:r>
      <w:r w:rsidR="001A407E" w:rsidRPr="00FE42EE">
        <w:rPr>
          <w:sz w:val="24"/>
        </w:rPr>
        <w:t>independently.</w:t>
      </w:r>
      <w:r w:rsidRPr="00FE42EE">
        <w:rPr>
          <w:sz w:val="24"/>
        </w:rPr>
        <w:t xml:space="preserve"> </w:t>
      </w:r>
    </w:p>
    <w:p w14:paraId="616D3F59" w14:textId="77777777" w:rsidR="004574E3" w:rsidRPr="00335E5A" w:rsidRDefault="004574E3" w:rsidP="00097103">
      <w:pPr>
        <w:tabs>
          <w:tab w:val="left" w:pos="2021"/>
        </w:tabs>
        <w:spacing w:line="223" w:lineRule="auto"/>
        <w:ind w:left="2020" w:right="-31"/>
        <w:rPr>
          <w:sz w:val="24"/>
        </w:rPr>
      </w:pPr>
    </w:p>
    <w:p w14:paraId="655DF19B" w14:textId="77777777" w:rsidR="00801198" w:rsidRPr="00AC5278" w:rsidRDefault="00CA3EFD" w:rsidP="00097103">
      <w:pPr>
        <w:pStyle w:val="Heading1"/>
        <w:numPr>
          <w:ilvl w:val="0"/>
          <w:numId w:val="5"/>
        </w:numPr>
        <w:tabs>
          <w:tab w:val="left" w:pos="760"/>
          <w:tab w:val="left" w:pos="761"/>
        </w:tabs>
        <w:ind w:left="760" w:right="-31"/>
        <w:jc w:val="left"/>
      </w:pPr>
      <w:r w:rsidRPr="00AC5278">
        <w:t>HOUSING IN ROTHERHAM</w:t>
      </w:r>
    </w:p>
    <w:p w14:paraId="655DF19C" w14:textId="77777777" w:rsidR="00801198" w:rsidRPr="00AC5278" w:rsidRDefault="00801198" w:rsidP="00097103">
      <w:pPr>
        <w:pStyle w:val="BodyText"/>
        <w:ind w:right="-31"/>
        <w:rPr>
          <w:b/>
        </w:rPr>
      </w:pPr>
    </w:p>
    <w:p w14:paraId="38BF9FB1" w14:textId="42649C81" w:rsidR="00D60602" w:rsidRDefault="00D60602" w:rsidP="00097103">
      <w:pPr>
        <w:pStyle w:val="BodyText"/>
        <w:spacing w:before="1"/>
        <w:ind w:left="220" w:right="-31"/>
        <w:rPr>
          <w:rFonts w:eastAsiaTheme="minorHAnsi"/>
          <w:lang w:bidi="ar-SA"/>
        </w:rPr>
      </w:pPr>
      <w:bookmarkStart w:id="0" w:name="_Hlk62658318"/>
      <w:bookmarkStart w:id="1" w:name="_Hlk62658621"/>
      <w:r>
        <w:t xml:space="preserve">The Council owns and manages a housing stock of </w:t>
      </w:r>
      <w:r w:rsidR="00415DDE">
        <w:t>19,936</w:t>
      </w:r>
      <w:r>
        <w:t xml:space="preserve"> of which </w:t>
      </w:r>
      <w:r w:rsidR="00415DDE">
        <w:t>38</w:t>
      </w:r>
      <w:r>
        <w:t>% are 3 bedroomed houses.</w:t>
      </w:r>
    </w:p>
    <w:p w14:paraId="2A5E2204" w14:textId="77777777" w:rsidR="00D60602" w:rsidRDefault="00D60602" w:rsidP="00097103">
      <w:pPr>
        <w:pStyle w:val="BodyText"/>
        <w:spacing w:before="1"/>
        <w:ind w:left="220" w:right="-31"/>
      </w:pPr>
    </w:p>
    <w:tbl>
      <w:tblPr>
        <w:tblW w:w="0" w:type="auto"/>
        <w:tblInd w:w="213" w:type="dxa"/>
        <w:tblCellMar>
          <w:left w:w="0" w:type="dxa"/>
          <w:right w:w="0" w:type="dxa"/>
        </w:tblCellMar>
        <w:tblLook w:val="04A0" w:firstRow="1" w:lastRow="0" w:firstColumn="1" w:lastColumn="0" w:noHBand="0" w:noVBand="1"/>
      </w:tblPr>
      <w:tblGrid>
        <w:gridCol w:w="1255"/>
        <w:gridCol w:w="1640"/>
        <w:gridCol w:w="1260"/>
        <w:gridCol w:w="1260"/>
        <w:gridCol w:w="1440"/>
        <w:gridCol w:w="1621"/>
      </w:tblGrid>
      <w:tr w:rsidR="00D60602" w14:paraId="5DD7B840" w14:textId="77777777" w:rsidTr="00AA0F92">
        <w:trPr>
          <w:trHeight w:val="275"/>
        </w:trPr>
        <w:tc>
          <w:tcPr>
            <w:tcW w:w="1255" w:type="dxa"/>
            <w:tcBorders>
              <w:top w:val="nil"/>
              <w:left w:val="nil"/>
              <w:bottom w:val="single" w:sz="8" w:space="0" w:color="000000"/>
              <w:right w:val="single" w:sz="8" w:space="0" w:color="000000"/>
            </w:tcBorders>
          </w:tcPr>
          <w:p w14:paraId="784BCFB0" w14:textId="77777777" w:rsidR="00D60602" w:rsidRDefault="00D60602" w:rsidP="00097103">
            <w:pPr>
              <w:ind w:right="-31"/>
              <w:rPr>
                <w:rFonts w:ascii="Times New Roman" w:hAnsi="Times New Roman" w:cs="Times New Roman"/>
                <w:sz w:val="20"/>
                <w:szCs w:val="20"/>
              </w:rPr>
            </w:pPr>
          </w:p>
        </w:tc>
        <w:tc>
          <w:tcPr>
            <w:tcW w:w="1640" w:type="dxa"/>
            <w:tcBorders>
              <w:top w:val="single" w:sz="8" w:space="0" w:color="000000"/>
              <w:left w:val="nil"/>
              <w:bottom w:val="single" w:sz="8" w:space="0" w:color="000000"/>
              <w:right w:val="single" w:sz="8" w:space="0" w:color="000000"/>
            </w:tcBorders>
            <w:shd w:val="clear" w:color="auto" w:fill="C0C0C0"/>
            <w:vAlign w:val="center"/>
            <w:hideMark/>
          </w:tcPr>
          <w:p w14:paraId="0F6B83C8" w14:textId="77777777" w:rsidR="00D60602" w:rsidRDefault="00D60602" w:rsidP="00AA0F92">
            <w:pPr>
              <w:spacing w:line="256" w:lineRule="exact"/>
              <w:ind w:left="107" w:right="-31"/>
              <w:jc w:val="center"/>
              <w:rPr>
                <w:b/>
                <w:bCs/>
                <w:sz w:val="24"/>
                <w:szCs w:val="24"/>
              </w:rPr>
            </w:pPr>
            <w:r>
              <w:rPr>
                <w:b/>
                <w:bCs/>
                <w:color w:val="000000"/>
                <w:sz w:val="24"/>
                <w:szCs w:val="24"/>
              </w:rPr>
              <w:t>Bungalows</w:t>
            </w:r>
          </w:p>
        </w:tc>
        <w:tc>
          <w:tcPr>
            <w:tcW w:w="1260" w:type="dxa"/>
            <w:tcBorders>
              <w:top w:val="single" w:sz="8" w:space="0" w:color="000000"/>
              <w:left w:val="nil"/>
              <w:bottom w:val="single" w:sz="8" w:space="0" w:color="000000"/>
              <w:right w:val="single" w:sz="8" w:space="0" w:color="000000"/>
            </w:tcBorders>
            <w:shd w:val="clear" w:color="auto" w:fill="C0C0C0"/>
            <w:vAlign w:val="center"/>
            <w:hideMark/>
          </w:tcPr>
          <w:p w14:paraId="2AAB586A" w14:textId="77777777" w:rsidR="00D60602" w:rsidRDefault="00D60602" w:rsidP="00AA0F92">
            <w:pPr>
              <w:spacing w:line="256" w:lineRule="exact"/>
              <w:ind w:left="107" w:right="-31"/>
              <w:jc w:val="center"/>
              <w:rPr>
                <w:b/>
                <w:bCs/>
                <w:sz w:val="24"/>
                <w:szCs w:val="24"/>
              </w:rPr>
            </w:pPr>
            <w:r>
              <w:rPr>
                <w:b/>
                <w:bCs/>
                <w:color w:val="000000"/>
                <w:sz w:val="24"/>
                <w:szCs w:val="24"/>
              </w:rPr>
              <w:t>Bedsits</w:t>
            </w:r>
          </w:p>
        </w:tc>
        <w:tc>
          <w:tcPr>
            <w:tcW w:w="1260" w:type="dxa"/>
            <w:tcBorders>
              <w:top w:val="single" w:sz="8" w:space="0" w:color="000000"/>
              <w:left w:val="nil"/>
              <w:bottom w:val="single" w:sz="8" w:space="0" w:color="000000"/>
              <w:right w:val="single" w:sz="8" w:space="0" w:color="000000"/>
            </w:tcBorders>
            <w:shd w:val="clear" w:color="auto" w:fill="C0C0C0"/>
            <w:vAlign w:val="center"/>
            <w:hideMark/>
          </w:tcPr>
          <w:p w14:paraId="0A6B9C4C" w14:textId="77777777" w:rsidR="00D60602" w:rsidRDefault="00D60602" w:rsidP="00AA0F92">
            <w:pPr>
              <w:spacing w:line="256" w:lineRule="exact"/>
              <w:ind w:left="107" w:right="-31"/>
              <w:jc w:val="center"/>
              <w:rPr>
                <w:b/>
                <w:bCs/>
                <w:sz w:val="24"/>
                <w:szCs w:val="24"/>
              </w:rPr>
            </w:pPr>
            <w:r>
              <w:rPr>
                <w:b/>
                <w:bCs/>
                <w:color w:val="000000"/>
                <w:sz w:val="24"/>
                <w:szCs w:val="24"/>
              </w:rPr>
              <w:t>Flats</w:t>
            </w:r>
          </w:p>
        </w:tc>
        <w:tc>
          <w:tcPr>
            <w:tcW w:w="1440" w:type="dxa"/>
            <w:tcBorders>
              <w:top w:val="single" w:sz="8" w:space="0" w:color="000000"/>
              <w:left w:val="nil"/>
              <w:bottom w:val="single" w:sz="8" w:space="0" w:color="000000"/>
              <w:right w:val="single" w:sz="8" w:space="0" w:color="000000"/>
            </w:tcBorders>
            <w:shd w:val="clear" w:color="auto" w:fill="C0C0C0"/>
            <w:vAlign w:val="center"/>
            <w:hideMark/>
          </w:tcPr>
          <w:p w14:paraId="5D57D584" w14:textId="77777777" w:rsidR="00D60602" w:rsidRDefault="00D60602" w:rsidP="00AA0F92">
            <w:pPr>
              <w:spacing w:line="256" w:lineRule="exact"/>
              <w:ind w:left="108" w:right="-31"/>
              <w:jc w:val="center"/>
              <w:rPr>
                <w:b/>
                <w:bCs/>
                <w:sz w:val="24"/>
                <w:szCs w:val="24"/>
              </w:rPr>
            </w:pPr>
            <w:r>
              <w:rPr>
                <w:b/>
                <w:bCs/>
                <w:color w:val="000000"/>
                <w:sz w:val="24"/>
                <w:szCs w:val="24"/>
              </w:rPr>
              <w:t>Houses</w:t>
            </w:r>
          </w:p>
        </w:tc>
        <w:tc>
          <w:tcPr>
            <w:tcW w:w="1621" w:type="dxa"/>
            <w:tcBorders>
              <w:top w:val="single" w:sz="8" w:space="0" w:color="000000"/>
              <w:left w:val="nil"/>
              <w:bottom w:val="single" w:sz="8" w:space="0" w:color="000000"/>
              <w:right w:val="single" w:sz="8" w:space="0" w:color="000000"/>
            </w:tcBorders>
            <w:shd w:val="clear" w:color="auto" w:fill="C0C0C0"/>
            <w:vAlign w:val="center"/>
            <w:hideMark/>
          </w:tcPr>
          <w:p w14:paraId="0DA714DA" w14:textId="77777777" w:rsidR="00D60602" w:rsidRDefault="00D60602" w:rsidP="00AA0F92">
            <w:pPr>
              <w:spacing w:line="256" w:lineRule="exact"/>
              <w:ind w:left="108" w:right="-31"/>
              <w:jc w:val="center"/>
              <w:rPr>
                <w:b/>
                <w:bCs/>
                <w:sz w:val="24"/>
                <w:szCs w:val="24"/>
              </w:rPr>
            </w:pPr>
            <w:r>
              <w:rPr>
                <w:b/>
                <w:bCs/>
                <w:color w:val="000000"/>
                <w:sz w:val="24"/>
                <w:szCs w:val="24"/>
              </w:rPr>
              <w:t>Maisonettes</w:t>
            </w:r>
          </w:p>
        </w:tc>
      </w:tr>
      <w:tr w:rsidR="00D60602" w14:paraId="3018406C" w14:textId="77777777" w:rsidTr="00AA0F92">
        <w:trPr>
          <w:trHeight w:val="275"/>
        </w:trPr>
        <w:tc>
          <w:tcPr>
            <w:tcW w:w="1255" w:type="dxa"/>
            <w:tcBorders>
              <w:top w:val="nil"/>
              <w:left w:val="single" w:sz="8" w:space="0" w:color="000000"/>
              <w:bottom w:val="single" w:sz="8" w:space="0" w:color="000000"/>
              <w:right w:val="single" w:sz="8" w:space="0" w:color="000000"/>
            </w:tcBorders>
            <w:shd w:val="clear" w:color="auto" w:fill="C0C0C0"/>
            <w:vAlign w:val="center"/>
            <w:hideMark/>
          </w:tcPr>
          <w:p w14:paraId="37C44CE9" w14:textId="77777777" w:rsidR="00D60602" w:rsidRPr="00FE42EE" w:rsidRDefault="00D60602" w:rsidP="00AA0F92">
            <w:pPr>
              <w:spacing w:line="256" w:lineRule="exact"/>
              <w:ind w:right="-31"/>
              <w:jc w:val="center"/>
              <w:rPr>
                <w:b/>
                <w:bCs/>
                <w:sz w:val="24"/>
                <w:szCs w:val="24"/>
              </w:rPr>
            </w:pPr>
            <w:r w:rsidRPr="00FE42EE">
              <w:rPr>
                <w:b/>
                <w:bCs/>
                <w:color w:val="000000"/>
                <w:sz w:val="24"/>
                <w:szCs w:val="24"/>
              </w:rPr>
              <w:t>Total</w:t>
            </w:r>
          </w:p>
        </w:tc>
        <w:tc>
          <w:tcPr>
            <w:tcW w:w="1640" w:type="dxa"/>
            <w:tcBorders>
              <w:top w:val="nil"/>
              <w:left w:val="nil"/>
              <w:bottom w:val="single" w:sz="8" w:space="0" w:color="000000"/>
              <w:right w:val="single" w:sz="8" w:space="0" w:color="000000"/>
            </w:tcBorders>
            <w:vAlign w:val="center"/>
            <w:hideMark/>
          </w:tcPr>
          <w:p w14:paraId="00C76270" w14:textId="6AA948DD" w:rsidR="00D60602" w:rsidRDefault="00D60602" w:rsidP="00AA0F92">
            <w:pPr>
              <w:spacing w:line="256" w:lineRule="exact"/>
              <w:ind w:left="107" w:right="-31"/>
              <w:jc w:val="center"/>
              <w:rPr>
                <w:sz w:val="24"/>
                <w:szCs w:val="24"/>
              </w:rPr>
            </w:pPr>
            <w:r>
              <w:rPr>
                <w:sz w:val="24"/>
                <w:szCs w:val="24"/>
              </w:rPr>
              <w:t>4</w:t>
            </w:r>
            <w:r w:rsidR="00415DDE">
              <w:rPr>
                <w:sz w:val="24"/>
                <w:szCs w:val="24"/>
              </w:rPr>
              <w:t>,818</w:t>
            </w:r>
          </w:p>
        </w:tc>
        <w:tc>
          <w:tcPr>
            <w:tcW w:w="1260" w:type="dxa"/>
            <w:tcBorders>
              <w:top w:val="nil"/>
              <w:left w:val="nil"/>
              <w:bottom w:val="single" w:sz="8" w:space="0" w:color="000000"/>
              <w:right w:val="single" w:sz="8" w:space="0" w:color="000000"/>
            </w:tcBorders>
            <w:vAlign w:val="center"/>
            <w:hideMark/>
          </w:tcPr>
          <w:p w14:paraId="7C18035A" w14:textId="7B5D3C98" w:rsidR="00D60602" w:rsidRDefault="00415DDE" w:rsidP="00AA0F92">
            <w:pPr>
              <w:spacing w:line="256" w:lineRule="exact"/>
              <w:ind w:left="107" w:right="-31"/>
              <w:jc w:val="center"/>
              <w:rPr>
                <w:sz w:val="24"/>
                <w:szCs w:val="24"/>
              </w:rPr>
            </w:pPr>
            <w:r>
              <w:rPr>
                <w:sz w:val="24"/>
                <w:szCs w:val="24"/>
              </w:rPr>
              <w:t>76</w:t>
            </w:r>
          </w:p>
        </w:tc>
        <w:tc>
          <w:tcPr>
            <w:tcW w:w="1260" w:type="dxa"/>
            <w:tcBorders>
              <w:top w:val="nil"/>
              <w:left w:val="nil"/>
              <w:bottom w:val="single" w:sz="8" w:space="0" w:color="000000"/>
              <w:right w:val="single" w:sz="8" w:space="0" w:color="000000"/>
            </w:tcBorders>
            <w:vAlign w:val="center"/>
            <w:hideMark/>
          </w:tcPr>
          <w:p w14:paraId="40459B64" w14:textId="42EA8C27" w:rsidR="00D60602" w:rsidRDefault="00415DDE" w:rsidP="00AA0F92">
            <w:pPr>
              <w:spacing w:line="256" w:lineRule="exact"/>
              <w:ind w:left="107" w:right="-31"/>
              <w:jc w:val="center"/>
              <w:rPr>
                <w:sz w:val="24"/>
                <w:szCs w:val="24"/>
              </w:rPr>
            </w:pPr>
            <w:r>
              <w:rPr>
                <w:sz w:val="24"/>
                <w:szCs w:val="24"/>
              </w:rPr>
              <w:t>5,124</w:t>
            </w:r>
          </w:p>
        </w:tc>
        <w:tc>
          <w:tcPr>
            <w:tcW w:w="1440" w:type="dxa"/>
            <w:tcBorders>
              <w:top w:val="nil"/>
              <w:left w:val="nil"/>
              <w:bottom w:val="single" w:sz="8" w:space="0" w:color="000000"/>
              <w:right w:val="single" w:sz="8" w:space="0" w:color="000000"/>
            </w:tcBorders>
            <w:vAlign w:val="center"/>
            <w:hideMark/>
          </w:tcPr>
          <w:p w14:paraId="49672EE8" w14:textId="3B0F949A" w:rsidR="00D60602" w:rsidRDefault="00415DDE" w:rsidP="00AA0F92">
            <w:pPr>
              <w:spacing w:line="256" w:lineRule="exact"/>
              <w:ind w:left="108" w:right="-31"/>
              <w:jc w:val="center"/>
              <w:rPr>
                <w:sz w:val="24"/>
                <w:szCs w:val="24"/>
              </w:rPr>
            </w:pPr>
            <w:r>
              <w:rPr>
                <w:sz w:val="24"/>
                <w:szCs w:val="24"/>
              </w:rPr>
              <w:t>9,707</w:t>
            </w:r>
          </w:p>
        </w:tc>
        <w:tc>
          <w:tcPr>
            <w:tcW w:w="1621" w:type="dxa"/>
            <w:tcBorders>
              <w:top w:val="nil"/>
              <w:left w:val="nil"/>
              <w:bottom w:val="single" w:sz="8" w:space="0" w:color="000000"/>
              <w:right w:val="single" w:sz="8" w:space="0" w:color="000000"/>
            </w:tcBorders>
            <w:vAlign w:val="center"/>
            <w:hideMark/>
          </w:tcPr>
          <w:p w14:paraId="167F637C" w14:textId="5FC4A904" w:rsidR="00D60602" w:rsidRDefault="00415DDE" w:rsidP="00AA0F92">
            <w:pPr>
              <w:spacing w:line="256" w:lineRule="exact"/>
              <w:ind w:left="108" w:right="-31"/>
              <w:jc w:val="center"/>
              <w:rPr>
                <w:sz w:val="24"/>
                <w:szCs w:val="24"/>
              </w:rPr>
            </w:pPr>
            <w:r>
              <w:rPr>
                <w:sz w:val="24"/>
                <w:szCs w:val="24"/>
              </w:rPr>
              <w:t>211</w:t>
            </w:r>
          </w:p>
        </w:tc>
      </w:tr>
      <w:tr w:rsidR="00D60602" w14:paraId="08B650C7" w14:textId="77777777" w:rsidTr="00AA0F92">
        <w:trPr>
          <w:trHeight w:val="275"/>
        </w:trPr>
        <w:tc>
          <w:tcPr>
            <w:tcW w:w="1255" w:type="dxa"/>
            <w:tcBorders>
              <w:top w:val="nil"/>
              <w:left w:val="single" w:sz="8" w:space="0" w:color="000000"/>
              <w:bottom w:val="single" w:sz="8" w:space="0" w:color="000000"/>
              <w:right w:val="single" w:sz="8" w:space="0" w:color="000000"/>
            </w:tcBorders>
            <w:shd w:val="clear" w:color="auto" w:fill="C0C0C0"/>
            <w:vAlign w:val="center"/>
            <w:hideMark/>
          </w:tcPr>
          <w:p w14:paraId="2D6C47CD" w14:textId="77777777" w:rsidR="00D60602" w:rsidRPr="00FE42EE" w:rsidRDefault="00D60602" w:rsidP="00AA0F92">
            <w:pPr>
              <w:spacing w:line="256" w:lineRule="exact"/>
              <w:ind w:right="-31"/>
              <w:jc w:val="center"/>
              <w:rPr>
                <w:b/>
                <w:bCs/>
                <w:sz w:val="24"/>
                <w:szCs w:val="24"/>
              </w:rPr>
            </w:pPr>
            <w:r w:rsidRPr="00FE42EE">
              <w:rPr>
                <w:b/>
                <w:bCs/>
                <w:color w:val="000000"/>
                <w:sz w:val="24"/>
                <w:szCs w:val="24"/>
              </w:rPr>
              <w:t>%</w:t>
            </w:r>
          </w:p>
        </w:tc>
        <w:tc>
          <w:tcPr>
            <w:tcW w:w="1640" w:type="dxa"/>
            <w:tcBorders>
              <w:top w:val="nil"/>
              <w:left w:val="nil"/>
              <w:bottom w:val="single" w:sz="8" w:space="0" w:color="000000"/>
              <w:right w:val="single" w:sz="8" w:space="0" w:color="000000"/>
            </w:tcBorders>
            <w:vAlign w:val="center"/>
          </w:tcPr>
          <w:p w14:paraId="2E0B51C6" w14:textId="1694ECD3" w:rsidR="00D60602" w:rsidRDefault="007D28F6" w:rsidP="00AA0F92">
            <w:pPr>
              <w:spacing w:line="256" w:lineRule="exact"/>
              <w:ind w:left="107" w:right="-31"/>
              <w:jc w:val="center"/>
              <w:rPr>
                <w:sz w:val="24"/>
                <w:szCs w:val="24"/>
              </w:rPr>
            </w:pPr>
            <w:r>
              <w:rPr>
                <w:sz w:val="24"/>
                <w:szCs w:val="24"/>
              </w:rPr>
              <w:t>24.17%</w:t>
            </w:r>
          </w:p>
        </w:tc>
        <w:tc>
          <w:tcPr>
            <w:tcW w:w="1260" w:type="dxa"/>
            <w:tcBorders>
              <w:top w:val="nil"/>
              <w:left w:val="nil"/>
              <w:bottom w:val="single" w:sz="8" w:space="0" w:color="000000"/>
              <w:right w:val="single" w:sz="8" w:space="0" w:color="000000"/>
            </w:tcBorders>
            <w:vAlign w:val="center"/>
          </w:tcPr>
          <w:p w14:paraId="034CEBA8" w14:textId="6A4E237B" w:rsidR="00D60602" w:rsidRDefault="007D28F6" w:rsidP="00AA0F92">
            <w:pPr>
              <w:spacing w:line="256" w:lineRule="exact"/>
              <w:ind w:left="107" w:right="-31"/>
              <w:jc w:val="center"/>
              <w:rPr>
                <w:sz w:val="24"/>
                <w:szCs w:val="24"/>
              </w:rPr>
            </w:pPr>
            <w:r>
              <w:rPr>
                <w:sz w:val="24"/>
                <w:szCs w:val="24"/>
              </w:rPr>
              <w:t>0.38%</w:t>
            </w:r>
          </w:p>
        </w:tc>
        <w:tc>
          <w:tcPr>
            <w:tcW w:w="1260" w:type="dxa"/>
            <w:tcBorders>
              <w:top w:val="nil"/>
              <w:left w:val="nil"/>
              <w:bottom w:val="single" w:sz="8" w:space="0" w:color="000000"/>
              <w:right w:val="single" w:sz="8" w:space="0" w:color="000000"/>
            </w:tcBorders>
            <w:vAlign w:val="center"/>
          </w:tcPr>
          <w:p w14:paraId="38F92D86" w14:textId="52B414CD" w:rsidR="00D60602" w:rsidRDefault="007D28F6" w:rsidP="00AA0F92">
            <w:pPr>
              <w:spacing w:line="256" w:lineRule="exact"/>
              <w:ind w:left="107" w:right="-31"/>
              <w:jc w:val="center"/>
              <w:rPr>
                <w:sz w:val="24"/>
                <w:szCs w:val="24"/>
              </w:rPr>
            </w:pPr>
            <w:r>
              <w:rPr>
                <w:sz w:val="24"/>
                <w:szCs w:val="24"/>
              </w:rPr>
              <w:t>25.7%</w:t>
            </w:r>
          </w:p>
        </w:tc>
        <w:tc>
          <w:tcPr>
            <w:tcW w:w="1440" w:type="dxa"/>
            <w:tcBorders>
              <w:top w:val="nil"/>
              <w:left w:val="nil"/>
              <w:bottom w:val="single" w:sz="8" w:space="0" w:color="000000"/>
              <w:right w:val="single" w:sz="8" w:space="0" w:color="000000"/>
            </w:tcBorders>
            <w:vAlign w:val="center"/>
          </w:tcPr>
          <w:p w14:paraId="4A544EF0" w14:textId="618EE49F" w:rsidR="00D60602" w:rsidRDefault="007D28F6" w:rsidP="00AA0F92">
            <w:pPr>
              <w:spacing w:line="256" w:lineRule="exact"/>
              <w:ind w:left="108" w:right="-31"/>
              <w:jc w:val="center"/>
              <w:rPr>
                <w:sz w:val="24"/>
                <w:szCs w:val="24"/>
              </w:rPr>
            </w:pPr>
            <w:r>
              <w:rPr>
                <w:sz w:val="24"/>
                <w:szCs w:val="24"/>
              </w:rPr>
              <w:t>48.69%</w:t>
            </w:r>
          </w:p>
        </w:tc>
        <w:tc>
          <w:tcPr>
            <w:tcW w:w="1621" w:type="dxa"/>
            <w:tcBorders>
              <w:top w:val="nil"/>
              <w:left w:val="nil"/>
              <w:bottom w:val="single" w:sz="8" w:space="0" w:color="000000"/>
              <w:right w:val="single" w:sz="8" w:space="0" w:color="000000"/>
            </w:tcBorders>
            <w:vAlign w:val="center"/>
          </w:tcPr>
          <w:p w14:paraId="1F653531" w14:textId="41E59409" w:rsidR="00D60602" w:rsidRDefault="007D28F6" w:rsidP="00AA0F92">
            <w:pPr>
              <w:spacing w:line="256" w:lineRule="exact"/>
              <w:ind w:left="108" w:right="-31"/>
              <w:jc w:val="center"/>
              <w:rPr>
                <w:sz w:val="24"/>
                <w:szCs w:val="24"/>
              </w:rPr>
            </w:pPr>
            <w:r>
              <w:rPr>
                <w:sz w:val="24"/>
                <w:szCs w:val="24"/>
              </w:rPr>
              <w:t>1.06%</w:t>
            </w:r>
          </w:p>
        </w:tc>
      </w:tr>
    </w:tbl>
    <w:p w14:paraId="554589B4" w14:textId="77777777" w:rsidR="00D60602" w:rsidRDefault="00D60602" w:rsidP="00097103">
      <w:pPr>
        <w:pStyle w:val="BodyText"/>
        <w:ind w:right="-31"/>
        <w:rPr>
          <w:rFonts w:eastAsiaTheme="minorHAnsi"/>
          <w:sz w:val="26"/>
          <w:szCs w:val="26"/>
        </w:rPr>
      </w:pPr>
    </w:p>
    <w:p w14:paraId="170A63D0" w14:textId="62053B56" w:rsidR="00A25244" w:rsidRDefault="00A25244" w:rsidP="001A407E">
      <w:pPr>
        <w:pStyle w:val="BodyText"/>
        <w:ind w:left="220" w:right="472"/>
        <w:jc w:val="both"/>
      </w:pPr>
      <w:r>
        <w:t xml:space="preserve">In addition, there are approximately 5,000 homes owned and managed by registered providers of social housing in Rotherham. </w:t>
      </w:r>
    </w:p>
    <w:p w14:paraId="442D4059" w14:textId="77777777" w:rsidR="00A25244" w:rsidRDefault="00A25244" w:rsidP="001A407E">
      <w:pPr>
        <w:pStyle w:val="BodyText"/>
        <w:ind w:right="-31"/>
        <w:jc w:val="both"/>
      </w:pPr>
    </w:p>
    <w:p w14:paraId="565FF0FE" w14:textId="05A9C6A0" w:rsidR="00097103" w:rsidRDefault="00D60602" w:rsidP="001A407E">
      <w:pPr>
        <w:pStyle w:val="BodyText"/>
        <w:ind w:left="220" w:right="111"/>
        <w:jc w:val="both"/>
      </w:pPr>
      <w:r>
        <w:t xml:space="preserve">There are currently </w:t>
      </w:r>
      <w:r w:rsidR="00371E04">
        <w:t xml:space="preserve">over 7,000 </w:t>
      </w:r>
      <w:r>
        <w:t xml:space="preserve">people on the Housing Register in Rotherham. The register includes people already in council housing wishing to move as well as new applicants. </w:t>
      </w:r>
      <w:r w:rsidR="00A25244">
        <w:t>Demand outstrips supply and there are particular shortages of four bed</w:t>
      </w:r>
      <w:r w:rsidR="001A407E">
        <w:t>roomed</w:t>
      </w:r>
      <w:r w:rsidR="00A25244">
        <w:t xml:space="preserve"> houses, </w:t>
      </w:r>
      <w:r w:rsidR="005B4584">
        <w:t>bungalows,</w:t>
      </w:r>
      <w:r w:rsidR="00A25244">
        <w:t xml:space="preserve"> and adapted properties.</w:t>
      </w:r>
    </w:p>
    <w:bookmarkEnd w:id="0"/>
    <w:bookmarkEnd w:id="1"/>
    <w:p w14:paraId="7A8C6ECD" w14:textId="0FF1910D" w:rsidR="00A25244" w:rsidRDefault="00A25244" w:rsidP="00A25244">
      <w:pPr>
        <w:ind w:right="-31"/>
        <w:rPr>
          <w:i/>
          <w:iCs/>
          <w:sz w:val="24"/>
          <w:szCs w:val="24"/>
        </w:rPr>
      </w:pPr>
    </w:p>
    <w:p w14:paraId="26586D7F" w14:textId="77777777" w:rsidR="00A25244" w:rsidRPr="00A25244" w:rsidRDefault="00A25244" w:rsidP="00A25244">
      <w:pPr>
        <w:ind w:right="-31"/>
        <w:rPr>
          <w:i/>
          <w:iCs/>
          <w:sz w:val="24"/>
          <w:szCs w:val="24"/>
        </w:rPr>
      </w:pPr>
    </w:p>
    <w:p w14:paraId="655DF1CC" w14:textId="77777777" w:rsidR="00801198" w:rsidRPr="00335E5A" w:rsidRDefault="00CA3EFD" w:rsidP="00097103">
      <w:pPr>
        <w:pStyle w:val="Heading1"/>
        <w:numPr>
          <w:ilvl w:val="0"/>
          <w:numId w:val="5"/>
        </w:numPr>
        <w:tabs>
          <w:tab w:val="left" w:pos="760"/>
          <w:tab w:val="left" w:pos="761"/>
        </w:tabs>
        <w:ind w:left="760" w:right="-31"/>
        <w:jc w:val="left"/>
      </w:pPr>
      <w:r w:rsidRPr="00335E5A">
        <w:t>THE USE OF FIXED TERM/FLEXIBLE</w:t>
      </w:r>
      <w:r w:rsidRPr="00335E5A">
        <w:rPr>
          <w:spacing w:val="-2"/>
        </w:rPr>
        <w:t xml:space="preserve"> </w:t>
      </w:r>
      <w:r w:rsidRPr="00335E5A">
        <w:t>TENANCIES</w:t>
      </w:r>
    </w:p>
    <w:p w14:paraId="655DF1CD" w14:textId="77777777" w:rsidR="00801198" w:rsidRPr="00335E5A" w:rsidRDefault="00801198" w:rsidP="00097103">
      <w:pPr>
        <w:pStyle w:val="BodyText"/>
        <w:ind w:right="-31"/>
        <w:rPr>
          <w:b/>
        </w:rPr>
      </w:pPr>
    </w:p>
    <w:p w14:paraId="655DF1CE" w14:textId="11C02761" w:rsidR="00801198" w:rsidRPr="00335E5A" w:rsidRDefault="00CA3EFD" w:rsidP="001A407E">
      <w:pPr>
        <w:pStyle w:val="BodyText"/>
        <w:spacing w:before="1"/>
        <w:ind w:left="220" w:right="-31"/>
        <w:jc w:val="both"/>
      </w:pPr>
      <w:r w:rsidRPr="00335E5A">
        <w:t xml:space="preserve">Supporting </w:t>
      </w:r>
      <w:r w:rsidR="00D362FD" w:rsidRPr="00D362FD">
        <w:t>sustainable neighbourhoods is a key priority for Rotherham</w:t>
      </w:r>
      <w:r w:rsidR="005B4584" w:rsidRPr="00D362FD">
        <w:t xml:space="preserve">. </w:t>
      </w:r>
      <w:r w:rsidR="00D362FD" w:rsidRPr="00D362FD">
        <w:t xml:space="preserve">The Council’s policy is that secure </w:t>
      </w:r>
      <w:r w:rsidR="001A407E">
        <w:t>and</w:t>
      </w:r>
      <w:r w:rsidR="00D362FD" w:rsidRPr="00D362FD">
        <w:t xml:space="preserve"> assured tenancies should remain the norm for the great majority of social housing tenants. Large scale use of fixed term tenancies would promote transience and undermine neighbourhood sustainability</w:t>
      </w:r>
      <w:r w:rsidR="005B4584" w:rsidRPr="00D362FD">
        <w:t xml:space="preserve">. </w:t>
      </w:r>
      <w:r w:rsidR="00D362FD" w:rsidRPr="00D362FD">
        <w:t>For this reason, the widespread use of fixed term tenancies would not be welcome in Rotherham, either for council properties, or for properties owned by Rotherham’s registered provider partners.</w:t>
      </w:r>
    </w:p>
    <w:p w14:paraId="655DF1CF" w14:textId="77777777" w:rsidR="00801198" w:rsidRPr="00335E5A" w:rsidRDefault="00801198" w:rsidP="001A407E">
      <w:pPr>
        <w:pStyle w:val="BodyText"/>
        <w:ind w:right="-31"/>
        <w:jc w:val="both"/>
      </w:pPr>
    </w:p>
    <w:p w14:paraId="715CD4F3" w14:textId="67DA83E8" w:rsidR="004574E3" w:rsidRDefault="00D362FD" w:rsidP="001A407E">
      <w:pPr>
        <w:pStyle w:val="BodyText"/>
        <w:ind w:left="220" w:right="-31"/>
        <w:jc w:val="both"/>
      </w:pPr>
      <w:r w:rsidRPr="00D362FD">
        <w:t>RMBC understands there may be a small number of specific instances when a fixed term tenancy could be an appropriate tool with which to manage housing more effectively and alleviate some of the pressure on the stock of Rotherham’s social housing</w:t>
      </w:r>
      <w:r w:rsidR="005B4584" w:rsidRPr="00D362FD">
        <w:t xml:space="preserve">. </w:t>
      </w:r>
      <w:r w:rsidRPr="00D362FD">
        <w:t>Should a registered provider adopt a policy to issue fixed term tenancies, it is anticipated that RMBC is notified of the reasoning, length of term</w:t>
      </w:r>
      <w:r w:rsidR="001A407E">
        <w:t>,</w:t>
      </w:r>
      <w:r w:rsidRPr="00D362FD">
        <w:t xml:space="preserve"> and number of properties to which the decision relates.</w:t>
      </w:r>
    </w:p>
    <w:p w14:paraId="69350C9B" w14:textId="77777777" w:rsidR="00D362FD" w:rsidRPr="00154FDD" w:rsidRDefault="00D362FD" w:rsidP="00097103">
      <w:pPr>
        <w:pStyle w:val="BodyText"/>
        <w:ind w:left="220" w:right="-31"/>
      </w:pPr>
    </w:p>
    <w:p w14:paraId="655DF1D2" w14:textId="4EA3F408" w:rsidR="00801198" w:rsidRPr="00154FDD" w:rsidRDefault="00CA3EFD" w:rsidP="00097103">
      <w:pPr>
        <w:pStyle w:val="Heading1"/>
        <w:numPr>
          <w:ilvl w:val="1"/>
          <w:numId w:val="5"/>
        </w:numPr>
        <w:tabs>
          <w:tab w:val="left" w:pos="1300"/>
          <w:tab w:val="left" w:pos="1301"/>
        </w:tabs>
        <w:ind w:left="1276" w:right="-31"/>
      </w:pPr>
      <w:r w:rsidRPr="00154FDD">
        <w:t>The types of tenancies granted by</w:t>
      </w:r>
      <w:r w:rsidRPr="00154FDD">
        <w:rPr>
          <w:spacing w:val="-5"/>
        </w:rPr>
        <w:t xml:space="preserve"> </w:t>
      </w:r>
      <w:r w:rsidRPr="00154FDD">
        <w:t>RMBC</w:t>
      </w:r>
    </w:p>
    <w:p w14:paraId="655DF1D3" w14:textId="77777777" w:rsidR="00801198" w:rsidRPr="00154FDD" w:rsidRDefault="00801198" w:rsidP="00097103">
      <w:pPr>
        <w:pStyle w:val="BodyText"/>
        <w:ind w:right="-31"/>
        <w:rPr>
          <w:b/>
        </w:rPr>
      </w:pPr>
    </w:p>
    <w:p w14:paraId="655DF1D4" w14:textId="25072C1D" w:rsidR="00801198" w:rsidRPr="00154FDD" w:rsidRDefault="00CA3EFD" w:rsidP="001A407E">
      <w:pPr>
        <w:pStyle w:val="BodyText"/>
        <w:ind w:left="760" w:right="-31"/>
        <w:jc w:val="both"/>
      </w:pPr>
      <w:r w:rsidRPr="00154FDD">
        <w:t xml:space="preserve">This Council favours the use of </w:t>
      </w:r>
      <w:r w:rsidR="00EB3EEB" w:rsidRPr="00154FDD">
        <w:t xml:space="preserve">periodic (lifetime) </w:t>
      </w:r>
      <w:r w:rsidRPr="00154FDD">
        <w:t xml:space="preserve">or ‘long term’ tenancies and currently </w:t>
      </w:r>
      <w:r w:rsidR="00EB3EEB" w:rsidRPr="00154FDD">
        <w:t>issues 4</w:t>
      </w:r>
      <w:r w:rsidRPr="00154FDD">
        <w:t xml:space="preserve"> types of tenancy</w:t>
      </w:r>
      <w:r w:rsidR="00EB3EEB" w:rsidRPr="00154FDD">
        <w:t xml:space="preserve"> agreement</w:t>
      </w:r>
      <w:r w:rsidR="004B0AAA" w:rsidRPr="00154FDD">
        <w:t>:</w:t>
      </w:r>
    </w:p>
    <w:p w14:paraId="655DF1D5" w14:textId="77777777" w:rsidR="00801198" w:rsidRPr="00154FDD" w:rsidRDefault="00801198" w:rsidP="00097103">
      <w:pPr>
        <w:pStyle w:val="BodyText"/>
        <w:ind w:right="-31"/>
      </w:pPr>
    </w:p>
    <w:p w14:paraId="655DF1D6" w14:textId="1C419FF3" w:rsidR="00801198" w:rsidRPr="00154FDD" w:rsidRDefault="001A407E" w:rsidP="00097103">
      <w:pPr>
        <w:pStyle w:val="ListParagraph"/>
        <w:numPr>
          <w:ilvl w:val="0"/>
          <w:numId w:val="4"/>
        </w:numPr>
        <w:spacing w:before="1"/>
        <w:ind w:left="1418" w:right="-31"/>
        <w:rPr>
          <w:sz w:val="24"/>
          <w:szCs w:val="24"/>
        </w:rPr>
      </w:pPr>
      <w:r w:rsidRPr="00154FDD">
        <w:rPr>
          <w:sz w:val="24"/>
          <w:szCs w:val="24"/>
        </w:rPr>
        <w:t>12-month</w:t>
      </w:r>
      <w:r w:rsidR="00CA3EFD" w:rsidRPr="00154FDD">
        <w:rPr>
          <w:sz w:val="24"/>
          <w:szCs w:val="24"/>
        </w:rPr>
        <w:t xml:space="preserve"> introductory tenancies to new housing</w:t>
      </w:r>
      <w:r w:rsidR="00CA3EFD" w:rsidRPr="00154FDD">
        <w:rPr>
          <w:spacing w:val="-12"/>
          <w:sz w:val="24"/>
          <w:szCs w:val="24"/>
        </w:rPr>
        <w:t xml:space="preserve"> </w:t>
      </w:r>
      <w:r w:rsidR="00CA3EFD" w:rsidRPr="00154FDD">
        <w:rPr>
          <w:sz w:val="24"/>
          <w:szCs w:val="24"/>
        </w:rPr>
        <w:t>tenants</w:t>
      </w:r>
      <w:r>
        <w:rPr>
          <w:sz w:val="24"/>
          <w:szCs w:val="24"/>
        </w:rPr>
        <w:t>.</w:t>
      </w:r>
    </w:p>
    <w:p w14:paraId="655DF1D7" w14:textId="08206204" w:rsidR="00801198" w:rsidRPr="00154FDD" w:rsidRDefault="00EB3EEB" w:rsidP="00097103">
      <w:pPr>
        <w:pStyle w:val="ListParagraph"/>
        <w:numPr>
          <w:ilvl w:val="0"/>
          <w:numId w:val="4"/>
        </w:numPr>
        <w:ind w:left="1418" w:right="-31"/>
        <w:rPr>
          <w:sz w:val="24"/>
          <w:szCs w:val="24"/>
        </w:rPr>
      </w:pPr>
      <w:r w:rsidRPr="00154FDD">
        <w:rPr>
          <w:sz w:val="24"/>
          <w:szCs w:val="24"/>
        </w:rPr>
        <w:t>Periodic, lifetime</w:t>
      </w:r>
      <w:r w:rsidR="00CA3EFD" w:rsidRPr="00154FDD">
        <w:rPr>
          <w:sz w:val="24"/>
          <w:szCs w:val="24"/>
        </w:rPr>
        <w:t xml:space="preserve"> tenancies to existing tenants</w:t>
      </w:r>
      <w:r w:rsidR="00CA3EFD" w:rsidRPr="00154FDD">
        <w:rPr>
          <w:spacing w:val="-4"/>
          <w:sz w:val="24"/>
          <w:szCs w:val="24"/>
        </w:rPr>
        <w:t xml:space="preserve"> </w:t>
      </w:r>
      <w:r w:rsidR="00CA3EFD" w:rsidRPr="00154FDD">
        <w:rPr>
          <w:sz w:val="24"/>
          <w:szCs w:val="24"/>
        </w:rPr>
        <w:t>who:</w:t>
      </w:r>
    </w:p>
    <w:p w14:paraId="655DF1D8" w14:textId="77777777" w:rsidR="00801198" w:rsidRPr="00154FDD" w:rsidRDefault="00CA3EFD" w:rsidP="00097103">
      <w:pPr>
        <w:pStyle w:val="ListParagraph"/>
        <w:numPr>
          <w:ilvl w:val="1"/>
          <w:numId w:val="4"/>
        </w:numPr>
        <w:tabs>
          <w:tab w:val="left" w:pos="2020"/>
          <w:tab w:val="left" w:pos="2021"/>
        </w:tabs>
        <w:spacing w:line="293" w:lineRule="exact"/>
        <w:ind w:left="1843" w:right="-31"/>
        <w:rPr>
          <w:sz w:val="24"/>
          <w:szCs w:val="24"/>
        </w:rPr>
      </w:pPr>
      <w:r w:rsidRPr="00154FDD">
        <w:rPr>
          <w:sz w:val="24"/>
          <w:szCs w:val="24"/>
        </w:rPr>
        <w:t>transfer/downsize, and</w:t>
      </w:r>
    </w:p>
    <w:p w14:paraId="655DF1D9" w14:textId="1BF189D6" w:rsidR="00801198" w:rsidRPr="00335E5A" w:rsidRDefault="00CA3EFD" w:rsidP="00097103">
      <w:pPr>
        <w:pStyle w:val="ListParagraph"/>
        <w:numPr>
          <w:ilvl w:val="1"/>
          <w:numId w:val="4"/>
        </w:numPr>
        <w:tabs>
          <w:tab w:val="left" w:pos="2020"/>
          <w:tab w:val="left" w:pos="2021"/>
        </w:tabs>
        <w:spacing w:before="4" w:line="235" w:lineRule="auto"/>
        <w:ind w:left="1843" w:right="-31"/>
        <w:rPr>
          <w:sz w:val="24"/>
        </w:rPr>
      </w:pPr>
      <w:r w:rsidRPr="00335E5A">
        <w:rPr>
          <w:sz w:val="24"/>
        </w:rPr>
        <w:t xml:space="preserve">who have </w:t>
      </w:r>
      <w:r w:rsidR="00EB3EEB" w:rsidRPr="00335E5A">
        <w:rPr>
          <w:sz w:val="24"/>
        </w:rPr>
        <w:t xml:space="preserve">satisfactorily </w:t>
      </w:r>
      <w:r w:rsidRPr="00335E5A">
        <w:rPr>
          <w:sz w:val="24"/>
        </w:rPr>
        <w:t>seen out the period of their introductory tenancy</w:t>
      </w:r>
      <w:r w:rsidR="000F3BE9">
        <w:rPr>
          <w:sz w:val="24"/>
        </w:rPr>
        <w:t xml:space="preserve"> </w:t>
      </w:r>
      <w:r w:rsidRPr="00335E5A">
        <w:rPr>
          <w:sz w:val="24"/>
        </w:rPr>
        <w:lastRenderedPageBreak/>
        <w:t>without incident or breach of tenancy</w:t>
      </w:r>
      <w:r w:rsidRPr="00335E5A">
        <w:rPr>
          <w:spacing w:val="-9"/>
          <w:sz w:val="24"/>
        </w:rPr>
        <w:t xml:space="preserve"> </w:t>
      </w:r>
      <w:r w:rsidRPr="00335E5A">
        <w:rPr>
          <w:sz w:val="24"/>
        </w:rPr>
        <w:t>conditions</w:t>
      </w:r>
      <w:r w:rsidR="001A407E">
        <w:rPr>
          <w:sz w:val="24"/>
        </w:rPr>
        <w:t>.</w:t>
      </w:r>
    </w:p>
    <w:p w14:paraId="655DF1DA" w14:textId="600B897F" w:rsidR="00801198" w:rsidRPr="00335E5A" w:rsidRDefault="00CA3EFD" w:rsidP="00097103">
      <w:pPr>
        <w:pStyle w:val="ListParagraph"/>
        <w:numPr>
          <w:ilvl w:val="0"/>
          <w:numId w:val="4"/>
        </w:numPr>
        <w:spacing w:before="3"/>
        <w:ind w:left="1418" w:right="-31"/>
        <w:rPr>
          <w:sz w:val="24"/>
        </w:rPr>
      </w:pPr>
      <w:r w:rsidRPr="00335E5A">
        <w:rPr>
          <w:sz w:val="24"/>
        </w:rPr>
        <w:t xml:space="preserve">Demoted tenancies which are created when </w:t>
      </w:r>
      <w:r w:rsidR="004B0AAA">
        <w:rPr>
          <w:sz w:val="24"/>
        </w:rPr>
        <w:t>C</w:t>
      </w:r>
      <w:r w:rsidRPr="00335E5A">
        <w:rPr>
          <w:sz w:val="24"/>
        </w:rPr>
        <w:t xml:space="preserve">ourt makes a demotion order against a </w:t>
      </w:r>
      <w:r w:rsidR="00123F6D" w:rsidRPr="00335E5A">
        <w:rPr>
          <w:sz w:val="24"/>
        </w:rPr>
        <w:t xml:space="preserve">tenant with a fixed term or </w:t>
      </w:r>
      <w:r w:rsidRPr="00335E5A">
        <w:rPr>
          <w:sz w:val="24"/>
        </w:rPr>
        <w:t>per</w:t>
      </w:r>
      <w:r w:rsidR="00123F6D" w:rsidRPr="00335E5A">
        <w:rPr>
          <w:sz w:val="24"/>
        </w:rPr>
        <w:t xml:space="preserve">iodic </w:t>
      </w:r>
      <w:r w:rsidRPr="00335E5A">
        <w:rPr>
          <w:sz w:val="24"/>
        </w:rPr>
        <w:t>tenan</w:t>
      </w:r>
      <w:r w:rsidR="00123F6D" w:rsidRPr="00335E5A">
        <w:rPr>
          <w:sz w:val="24"/>
        </w:rPr>
        <w:t>cy agreement</w:t>
      </w:r>
      <w:r w:rsidRPr="00335E5A">
        <w:rPr>
          <w:sz w:val="24"/>
        </w:rPr>
        <w:t>; demoted tenancies are used to manage antisocial behaviour and offer similar rights to an introductory</w:t>
      </w:r>
      <w:r w:rsidRPr="00335E5A">
        <w:rPr>
          <w:spacing w:val="-5"/>
          <w:sz w:val="24"/>
        </w:rPr>
        <w:t xml:space="preserve"> </w:t>
      </w:r>
      <w:r w:rsidR="001A407E" w:rsidRPr="00335E5A">
        <w:rPr>
          <w:sz w:val="24"/>
        </w:rPr>
        <w:t>tenancy.</w:t>
      </w:r>
    </w:p>
    <w:p w14:paraId="655DF1DB" w14:textId="0B20B483" w:rsidR="00801198" w:rsidRDefault="00EB3EEB" w:rsidP="00D362FD">
      <w:pPr>
        <w:pStyle w:val="ListParagraph"/>
        <w:numPr>
          <w:ilvl w:val="0"/>
          <w:numId w:val="4"/>
        </w:numPr>
        <w:spacing w:before="3"/>
        <w:ind w:left="1418" w:right="-31"/>
      </w:pPr>
      <w:r w:rsidRPr="00335E5A">
        <w:rPr>
          <w:sz w:val="24"/>
        </w:rPr>
        <w:t xml:space="preserve">Fixed term tenancies, sometimes referred to as flexible </w:t>
      </w:r>
      <w:r w:rsidR="001A407E" w:rsidRPr="00335E5A">
        <w:rPr>
          <w:sz w:val="24"/>
        </w:rPr>
        <w:t>tenancies.</w:t>
      </w:r>
    </w:p>
    <w:p w14:paraId="60F1289A" w14:textId="77777777" w:rsidR="00097103" w:rsidRPr="00335E5A" w:rsidRDefault="00097103" w:rsidP="00097103">
      <w:pPr>
        <w:pStyle w:val="BodyText"/>
        <w:ind w:right="-31"/>
      </w:pPr>
    </w:p>
    <w:p w14:paraId="17305A29" w14:textId="3F3479A2" w:rsidR="00D362FD" w:rsidRDefault="00D362FD" w:rsidP="001A407E">
      <w:pPr>
        <w:pStyle w:val="BodyText"/>
        <w:ind w:left="760" w:right="-31"/>
        <w:jc w:val="both"/>
      </w:pPr>
      <w:r w:rsidRPr="00D362FD">
        <w:t xml:space="preserve">There </w:t>
      </w:r>
      <w:r w:rsidR="005B4584" w:rsidRPr="00D362FD">
        <w:t xml:space="preserve">are </w:t>
      </w:r>
      <w:r w:rsidR="005B4584">
        <w:t>three</w:t>
      </w:r>
      <w:r w:rsidRPr="00D362FD">
        <w:t xml:space="preserve"> circumstances in which the Council may grant a fixed term tenancy to new tenants. These are set out in the following sections.</w:t>
      </w:r>
    </w:p>
    <w:p w14:paraId="492FFE69" w14:textId="77777777" w:rsidR="00D362FD" w:rsidRPr="00335E5A" w:rsidRDefault="00D362FD" w:rsidP="001A407E">
      <w:pPr>
        <w:pStyle w:val="BodyText"/>
        <w:ind w:left="760" w:right="-31"/>
        <w:jc w:val="both"/>
      </w:pPr>
    </w:p>
    <w:p w14:paraId="655DF1DC" w14:textId="76A1A9FB" w:rsidR="00801198" w:rsidRPr="00335E5A" w:rsidRDefault="00CA3EFD" w:rsidP="001A407E">
      <w:pPr>
        <w:pStyle w:val="BodyText"/>
        <w:ind w:left="760" w:right="-31"/>
        <w:jc w:val="both"/>
      </w:pPr>
      <w:r w:rsidRPr="00335E5A">
        <w:t>Fixed term tenancies help ensure people move to a suitab</w:t>
      </w:r>
      <w:r w:rsidR="00526B85" w:rsidRPr="00335E5A">
        <w:t>le</w:t>
      </w:r>
      <w:r w:rsidRPr="00335E5A">
        <w:t xml:space="preserve"> property when they no longer require a larger</w:t>
      </w:r>
      <w:r w:rsidR="00526B85" w:rsidRPr="00335E5A">
        <w:t xml:space="preserve"> or adapted</w:t>
      </w:r>
      <w:r w:rsidRPr="00335E5A">
        <w:t xml:space="preserve"> council house, freeing up suitable properties to enable the Council to </w:t>
      </w:r>
      <w:r w:rsidR="007C528E">
        <w:t xml:space="preserve">continue to </w:t>
      </w:r>
      <w:r w:rsidRPr="00335E5A">
        <w:t xml:space="preserve">meet the needs of overcrowded </w:t>
      </w:r>
      <w:r w:rsidR="00526B85" w:rsidRPr="00335E5A">
        <w:t xml:space="preserve">families and </w:t>
      </w:r>
      <w:r w:rsidRPr="00335E5A">
        <w:t>families</w:t>
      </w:r>
      <w:r w:rsidR="00526B85" w:rsidRPr="00335E5A">
        <w:t xml:space="preserve"> with a disabled household member</w:t>
      </w:r>
      <w:r w:rsidRPr="00335E5A">
        <w:t>, in priority need.</w:t>
      </w:r>
      <w:r w:rsidR="00765CAF">
        <w:t xml:space="preserve"> </w:t>
      </w:r>
      <w:r w:rsidR="00765CAF" w:rsidRPr="00765CAF">
        <w:t>Additionally, for those who do not have indefinite leave to remain, their fixed term tenancy will be reviewed in line with their immigration status</w:t>
      </w:r>
      <w:r w:rsidR="00765CAF">
        <w:t>.</w:t>
      </w:r>
    </w:p>
    <w:p w14:paraId="655DF1E3" w14:textId="77777777" w:rsidR="00801198" w:rsidRPr="00AC5278" w:rsidRDefault="00801198" w:rsidP="001A407E">
      <w:pPr>
        <w:pStyle w:val="BodyText"/>
        <w:spacing w:before="1"/>
        <w:ind w:right="-31"/>
        <w:jc w:val="both"/>
      </w:pPr>
    </w:p>
    <w:p w14:paraId="655DF1E4" w14:textId="30688809" w:rsidR="00801198" w:rsidRPr="00826022" w:rsidRDefault="00CA3EFD" w:rsidP="001A407E">
      <w:pPr>
        <w:pStyle w:val="BodyText"/>
        <w:spacing w:before="1"/>
        <w:ind w:left="760" w:right="-31"/>
        <w:jc w:val="both"/>
      </w:pPr>
      <w:r w:rsidRPr="00335E5A">
        <w:t xml:space="preserve">New RMBC tenants </w:t>
      </w:r>
      <w:r w:rsidR="00AC5278">
        <w:t>are</w:t>
      </w:r>
      <w:r w:rsidR="00EB3EEB" w:rsidRPr="00AC5278">
        <w:t xml:space="preserve"> </w:t>
      </w:r>
      <w:r w:rsidRPr="00335E5A">
        <w:t xml:space="preserve">initially issued with the standard, </w:t>
      </w:r>
      <w:r w:rsidR="00765CAF" w:rsidRPr="00335E5A">
        <w:t>one-year</w:t>
      </w:r>
      <w:r w:rsidRPr="00335E5A">
        <w:t xml:space="preserve"> introductory tenancy which automatically become</w:t>
      </w:r>
      <w:r w:rsidR="00EB3EEB" w:rsidRPr="00335E5A">
        <w:t>s</w:t>
      </w:r>
      <w:r w:rsidRPr="00335E5A">
        <w:t xml:space="preserve"> </w:t>
      </w:r>
      <w:r w:rsidR="00EB3EEB" w:rsidRPr="00335E5A">
        <w:t xml:space="preserve">a </w:t>
      </w:r>
      <w:r w:rsidR="001A407E">
        <w:t>secure</w:t>
      </w:r>
      <w:r w:rsidRPr="00335E5A">
        <w:t xml:space="preserve"> tenancy agreement, unless RMBC has taken action to extend or end the introductory tenancy.</w:t>
      </w:r>
      <w:r w:rsidR="00FE42EE">
        <w:t xml:space="preserve"> </w:t>
      </w:r>
      <w:r w:rsidR="00123F6D" w:rsidRPr="00335E5A">
        <w:t xml:space="preserve">Fixed term tenancies were introduced to reduce the number of larger, family homes which were occupied by just one tenant and </w:t>
      </w:r>
      <w:r w:rsidR="00826022">
        <w:t xml:space="preserve">help the Council to rehouse a </w:t>
      </w:r>
      <w:r w:rsidR="00123F6D" w:rsidRPr="00826022">
        <w:t>number of families in the Borough who were statutorily overcrowded.</w:t>
      </w:r>
      <w:r w:rsidR="00FE42EE">
        <w:t xml:space="preserve"> </w:t>
      </w:r>
    </w:p>
    <w:p w14:paraId="04EC9ED4" w14:textId="465DBD18" w:rsidR="00123F6D" w:rsidRDefault="00123F6D" w:rsidP="00D362FD">
      <w:pPr>
        <w:pStyle w:val="BodyText"/>
        <w:spacing w:before="1"/>
        <w:ind w:left="1276" w:right="-31"/>
      </w:pPr>
    </w:p>
    <w:p w14:paraId="628A3DE2" w14:textId="05D99FD3" w:rsidR="00D362FD" w:rsidRDefault="00D362FD" w:rsidP="00D362FD">
      <w:pPr>
        <w:pStyle w:val="BodyText"/>
        <w:numPr>
          <w:ilvl w:val="1"/>
          <w:numId w:val="5"/>
        </w:numPr>
        <w:spacing w:before="1"/>
        <w:ind w:left="1276" w:right="-31"/>
        <w:rPr>
          <w:b/>
          <w:bCs/>
        </w:rPr>
      </w:pPr>
      <w:r>
        <w:rPr>
          <w:b/>
          <w:bCs/>
        </w:rPr>
        <w:t xml:space="preserve"> Larger family homes </w:t>
      </w:r>
    </w:p>
    <w:p w14:paraId="43B74C7A" w14:textId="77777777" w:rsidR="00D362FD" w:rsidRDefault="00D362FD" w:rsidP="00D362FD">
      <w:pPr>
        <w:pStyle w:val="BodyText"/>
        <w:spacing w:before="1"/>
        <w:ind w:right="-31"/>
        <w:rPr>
          <w:b/>
          <w:bCs/>
        </w:rPr>
      </w:pPr>
    </w:p>
    <w:p w14:paraId="7B643026" w14:textId="7A3895D9" w:rsidR="000F3BE9" w:rsidRDefault="000F3BE9" w:rsidP="000F3BE9">
      <w:pPr>
        <w:pStyle w:val="BodyText"/>
        <w:spacing w:before="1"/>
        <w:ind w:left="720" w:right="-31"/>
      </w:pPr>
      <w:r>
        <w:t xml:space="preserve">Fixed term tenancies will be granted to families who require larger family homes (4 or more bedrooms). </w:t>
      </w:r>
    </w:p>
    <w:p w14:paraId="48AD9044" w14:textId="77777777" w:rsidR="00D9391B" w:rsidRDefault="00D9391B" w:rsidP="000F3BE9">
      <w:pPr>
        <w:pStyle w:val="BodyText"/>
        <w:spacing w:before="1"/>
        <w:ind w:left="720" w:right="-31"/>
      </w:pPr>
    </w:p>
    <w:p w14:paraId="04B17438" w14:textId="27647493" w:rsidR="00D9391B" w:rsidRDefault="00D9391B" w:rsidP="001A407E">
      <w:pPr>
        <w:pStyle w:val="BodyText"/>
        <w:spacing w:before="1"/>
        <w:ind w:left="720" w:right="-31"/>
        <w:jc w:val="both"/>
      </w:pPr>
      <w:r w:rsidRPr="00D362FD">
        <w:t>The length of the fixed term tenancies issued to new tenants of larger family homes is determined by the age of the youngest members of the household, with the intention of supporting families until the youngest members of the household reach the age of 21</w:t>
      </w:r>
      <w:r w:rsidR="005B4584" w:rsidRPr="00D362FD">
        <w:t xml:space="preserve">. </w:t>
      </w:r>
      <w:r w:rsidRPr="00D362FD">
        <w:t>For example, a family whose youngest household member is 5 years old would be issued with a tenancy which would expire when that young person reaches 21 years of age; therefore, a 16-year fixed term tenancy would be issued.</w:t>
      </w:r>
    </w:p>
    <w:p w14:paraId="4D980FE0" w14:textId="77777777" w:rsidR="000F3BE9" w:rsidRDefault="000F3BE9" w:rsidP="001A407E">
      <w:pPr>
        <w:pStyle w:val="BodyText"/>
        <w:spacing w:before="1"/>
        <w:ind w:left="720" w:right="-31"/>
        <w:jc w:val="both"/>
      </w:pPr>
      <w:r>
        <w:t xml:space="preserve"> </w:t>
      </w:r>
    </w:p>
    <w:p w14:paraId="5DA5D7C5" w14:textId="77777777" w:rsidR="000F3BE9" w:rsidRDefault="000F3BE9" w:rsidP="001A407E">
      <w:pPr>
        <w:pStyle w:val="BodyText"/>
        <w:spacing w:before="1"/>
        <w:ind w:left="720" w:right="-31"/>
        <w:jc w:val="both"/>
      </w:pPr>
      <w:r>
        <w:t>The property will remain their home until that property size is no longer needed. The assumption is that the household size is likely to decrease over time, as non-dependent children leave the family home, and it is important that we ensure that family homes are prioritised for families with children who may have greater housing needs.</w:t>
      </w:r>
    </w:p>
    <w:p w14:paraId="4DB27C96" w14:textId="77777777" w:rsidR="00D9391B" w:rsidRDefault="00D9391B" w:rsidP="001A407E">
      <w:pPr>
        <w:pStyle w:val="BodyText"/>
        <w:spacing w:before="1"/>
        <w:ind w:left="720" w:right="-31"/>
        <w:jc w:val="both"/>
      </w:pPr>
    </w:p>
    <w:p w14:paraId="3E5380C6" w14:textId="075F14B3" w:rsidR="000F3BE9" w:rsidRDefault="000F3BE9" w:rsidP="000F3BE9">
      <w:pPr>
        <w:pStyle w:val="BodyText"/>
        <w:spacing w:before="1"/>
        <w:ind w:left="720" w:right="-31"/>
      </w:pPr>
    </w:p>
    <w:p w14:paraId="19471A90" w14:textId="3296586E" w:rsidR="000F3BE9" w:rsidRDefault="000F3BE9" w:rsidP="001A407E">
      <w:pPr>
        <w:pStyle w:val="BodyText"/>
        <w:spacing w:before="1"/>
        <w:ind w:left="720" w:right="-31"/>
        <w:jc w:val="both"/>
      </w:pPr>
      <w:r>
        <w:t>If circumstances within the household change and a family size property is no longer needed, the household will be given priority to bid for suitable accommodation for which they will be issued a periodic (lifetime) tenancy.</w:t>
      </w:r>
    </w:p>
    <w:p w14:paraId="287F0DB3" w14:textId="77777777" w:rsidR="00D9391B" w:rsidRPr="00D362FD" w:rsidRDefault="00D9391B" w:rsidP="00D9391B">
      <w:pPr>
        <w:pStyle w:val="BodyText"/>
        <w:spacing w:before="1"/>
        <w:ind w:left="720" w:right="-31"/>
      </w:pPr>
    </w:p>
    <w:p w14:paraId="152C20CE" w14:textId="50E88478" w:rsidR="00526B85" w:rsidRPr="000F3BE9" w:rsidRDefault="00D362FD" w:rsidP="000F3BE9">
      <w:pPr>
        <w:pStyle w:val="BodyText"/>
        <w:numPr>
          <w:ilvl w:val="1"/>
          <w:numId w:val="5"/>
        </w:numPr>
        <w:spacing w:before="1"/>
        <w:ind w:left="1276" w:right="-31"/>
        <w:rPr>
          <w:b/>
          <w:bCs/>
        </w:rPr>
      </w:pPr>
      <w:r w:rsidRPr="000F3BE9">
        <w:rPr>
          <w:b/>
          <w:bCs/>
        </w:rPr>
        <w:t>A</w:t>
      </w:r>
      <w:r w:rsidR="00526B85" w:rsidRPr="000F3BE9">
        <w:rPr>
          <w:b/>
          <w:bCs/>
        </w:rPr>
        <w:t>dapted properties</w:t>
      </w:r>
      <w:r w:rsidR="00671766">
        <w:rPr>
          <w:b/>
          <w:bCs/>
        </w:rPr>
        <w:t>.</w:t>
      </w:r>
    </w:p>
    <w:p w14:paraId="6FE22060" w14:textId="77777777" w:rsidR="00D9391B" w:rsidRPr="00826022" w:rsidRDefault="00D9391B" w:rsidP="00097103">
      <w:pPr>
        <w:pStyle w:val="BodyText"/>
        <w:spacing w:before="1"/>
        <w:ind w:left="760" w:right="-31"/>
      </w:pPr>
    </w:p>
    <w:p w14:paraId="604EA3FA" w14:textId="430AA27A" w:rsidR="003A6B64" w:rsidRDefault="00D362FD" w:rsidP="00671766">
      <w:pPr>
        <w:pStyle w:val="BodyText"/>
        <w:spacing w:before="1"/>
        <w:ind w:left="760" w:right="-31"/>
        <w:jc w:val="both"/>
      </w:pPr>
      <w:r w:rsidRPr="00D362FD">
        <w:t xml:space="preserve">Existing housing legislation already provides for social housing landlords to rehouse tenants who live in adapted properties if the household no longer needs the </w:t>
      </w:r>
      <w:r w:rsidRPr="00D362FD">
        <w:lastRenderedPageBreak/>
        <w:t>adaptations</w:t>
      </w:r>
      <w:r w:rsidR="005B4584" w:rsidRPr="00D362FD">
        <w:t xml:space="preserve">. </w:t>
      </w:r>
      <w:r w:rsidRPr="00D362FD">
        <w:t>This legislation is not used by the Council as moving a family from their home when they may have recently lost the member of the household for whom the adaptations were needed, is at odds with the Council acting as a responsible and compassionate landlord.</w:t>
      </w:r>
    </w:p>
    <w:p w14:paraId="6B1189BC" w14:textId="77777777" w:rsidR="00D362FD" w:rsidRDefault="00D362FD" w:rsidP="00671766">
      <w:pPr>
        <w:pStyle w:val="BodyText"/>
        <w:spacing w:before="1"/>
        <w:ind w:left="760" w:right="-31"/>
        <w:jc w:val="both"/>
      </w:pPr>
    </w:p>
    <w:p w14:paraId="451ED749" w14:textId="313F71AC" w:rsidR="00335E5A" w:rsidRDefault="00826022" w:rsidP="00671766">
      <w:pPr>
        <w:pStyle w:val="BodyText"/>
        <w:spacing w:before="1"/>
        <w:ind w:left="760" w:right="-31"/>
        <w:jc w:val="both"/>
      </w:pPr>
      <w:r>
        <w:t xml:space="preserve">However, </w:t>
      </w:r>
      <w:r w:rsidR="00335E5A">
        <w:t xml:space="preserve">the Council </w:t>
      </w:r>
      <w:r>
        <w:t xml:space="preserve">does not </w:t>
      </w:r>
      <w:r w:rsidR="00335E5A">
        <w:t>wish to see adapted properties occupied by able-bodied households wh</w:t>
      </w:r>
      <w:r w:rsidR="0013501E">
        <w:t xml:space="preserve">en there are a number of </w:t>
      </w:r>
      <w:r w:rsidR="002D2C70">
        <w:t>families</w:t>
      </w:r>
      <w:r w:rsidR="0013501E">
        <w:t xml:space="preserve"> who are known to</w:t>
      </w:r>
      <w:r w:rsidR="00D34444">
        <w:t xml:space="preserve"> the</w:t>
      </w:r>
      <w:r w:rsidR="0013501E">
        <w:t xml:space="preserve"> Council, and desperately need specialised, </w:t>
      </w:r>
      <w:r w:rsidR="00335E5A">
        <w:t>adapted accommodation.</w:t>
      </w:r>
    </w:p>
    <w:p w14:paraId="1542E7B3" w14:textId="77777777" w:rsidR="00335E5A" w:rsidRPr="00AC5278" w:rsidRDefault="00335E5A" w:rsidP="00671766">
      <w:pPr>
        <w:pStyle w:val="BodyText"/>
        <w:spacing w:before="1"/>
        <w:ind w:left="760" w:right="-31"/>
        <w:jc w:val="both"/>
      </w:pPr>
    </w:p>
    <w:p w14:paraId="7ED117F1" w14:textId="16D06F4E" w:rsidR="00526B85" w:rsidRDefault="0013501E" w:rsidP="00671766">
      <w:pPr>
        <w:pStyle w:val="BodyText"/>
        <w:spacing w:before="1"/>
        <w:ind w:left="760" w:right="-31"/>
        <w:jc w:val="both"/>
      </w:pPr>
      <w:r>
        <w:t>The introduction of fixed term tenancies to new tenants of adapted properties will ensure that tenants understand, from the outset of their tenancy, that the adapted property will remain their home while the adaptations are needed.</w:t>
      </w:r>
      <w:r w:rsidR="00FE42EE">
        <w:t xml:space="preserve"> </w:t>
      </w:r>
      <w:r>
        <w:t>Should the time come when the adaptions are no longer needed, the household will be given priority to bid for suitable accommodation</w:t>
      </w:r>
      <w:r w:rsidR="002D2C70">
        <w:t xml:space="preserve"> for which they will be issued a periodic (lifetime) tenancy.</w:t>
      </w:r>
    </w:p>
    <w:p w14:paraId="54EB7E17" w14:textId="77777777" w:rsidR="00D362FD" w:rsidRDefault="00D362FD" w:rsidP="00097103">
      <w:pPr>
        <w:pStyle w:val="BodyText"/>
        <w:spacing w:before="1"/>
        <w:ind w:left="760" w:right="-31"/>
      </w:pPr>
    </w:p>
    <w:p w14:paraId="67506D08" w14:textId="70CBB245" w:rsidR="00D362FD" w:rsidRPr="00AC5278" w:rsidRDefault="00D362FD" w:rsidP="00671766">
      <w:pPr>
        <w:pStyle w:val="BodyText"/>
        <w:spacing w:before="1"/>
        <w:ind w:left="760" w:right="-31"/>
        <w:jc w:val="both"/>
      </w:pPr>
      <w:r w:rsidRPr="00D362FD">
        <w:t>The length of fixed term tenancies issued to households with a disabled family member will be 5 years</w:t>
      </w:r>
      <w:r w:rsidR="005B4584" w:rsidRPr="00D362FD">
        <w:t xml:space="preserve">. </w:t>
      </w:r>
      <w:r w:rsidRPr="00D362FD">
        <w:t>As with the tenancies for larger family homes, there will be three options at the point of review – the tenancy will cease, the tenancy will be renewed, or the household will be issued a periodic tenancy for an alternative property which better suits the household’s needs.</w:t>
      </w:r>
    </w:p>
    <w:p w14:paraId="45E11814" w14:textId="77777777" w:rsidR="00D362FD" w:rsidRDefault="00D362FD" w:rsidP="00097103">
      <w:pPr>
        <w:pStyle w:val="BodyText"/>
        <w:spacing w:before="1"/>
        <w:ind w:left="760" w:right="-31"/>
      </w:pPr>
    </w:p>
    <w:p w14:paraId="148D9ABD" w14:textId="77777777" w:rsidR="00881F9C" w:rsidRDefault="00881F9C" w:rsidP="00881F9C">
      <w:pPr>
        <w:pStyle w:val="BodyText"/>
        <w:spacing w:before="1"/>
        <w:ind w:left="760" w:right="-31"/>
      </w:pPr>
    </w:p>
    <w:p w14:paraId="48929D66" w14:textId="35143F7F" w:rsidR="00D34444" w:rsidRPr="00FE42EE" w:rsidRDefault="00881F9C" w:rsidP="00097103">
      <w:pPr>
        <w:pStyle w:val="BodyText"/>
        <w:numPr>
          <w:ilvl w:val="1"/>
          <w:numId w:val="5"/>
        </w:numPr>
        <w:spacing w:before="1"/>
        <w:ind w:left="1276" w:right="-31"/>
        <w:rPr>
          <w:b/>
          <w:bCs/>
        </w:rPr>
      </w:pPr>
      <w:r>
        <w:rPr>
          <w:b/>
          <w:bCs/>
        </w:rPr>
        <w:t>Individuals</w:t>
      </w:r>
      <w:r w:rsidR="00693063">
        <w:rPr>
          <w:b/>
          <w:bCs/>
        </w:rPr>
        <w:t xml:space="preserve"> who</w:t>
      </w:r>
      <w:r w:rsidR="00D34444" w:rsidRPr="00FE42EE">
        <w:rPr>
          <w:b/>
          <w:bCs/>
        </w:rPr>
        <w:t xml:space="preserve"> do not have indefinite leave to remain but can still receive social housing</w:t>
      </w:r>
      <w:r w:rsidR="00671766">
        <w:rPr>
          <w:b/>
          <w:bCs/>
        </w:rPr>
        <w:t>.</w:t>
      </w:r>
    </w:p>
    <w:p w14:paraId="31B7A974" w14:textId="77777777" w:rsidR="00D34444" w:rsidRDefault="00D34444" w:rsidP="00097103">
      <w:pPr>
        <w:pStyle w:val="BodyText"/>
        <w:spacing w:before="1"/>
        <w:ind w:left="760" w:right="-31"/>
      </w:pPr>
    </w:p>
    <w:p w14:paraId="1149F134" w14:textId="41249D01" w:rsidR="00D34444" w:rsidRDefault="00881F9C" w:rsidP="00671766">
      <w:pPr>
        <w:pStyle w:val="BodyText"/>
        <w:spacing w:before="1"/>
        <w:ind w:left="760" w:right="-31"/>
        <w:jc w:val="both"/>
      </w:pPr>
      <w:r w:rsidRPr="00881F9C">
        <w:t>The Allocation of Housing and Homelessness (Eligibility) Regulations 2006 permits individuals who do not have indefinite leave to be eligible for allocation of social housing accommodation in certain circumstances</w:t>
      </w:r>
      <w:r w:rsidR="00D34444" w:rsidRPr="00D34444">
        <w:t>.</w:t>
      </w:r>
    </w:p>
    <w:p w14:paraId="02A9079A" w14:textId="77777777" w:rsidR="00D34444" w:rsidRDefault="00D34444" w:rsidP="00097103">
      <w:pPr>
        <w:pStyle w:val="BodyText"/>
        <w:spacing w:before="1"/>
        <w:ind w:right="-31"/>
      </w:pPr>
    </w:p>
    <w:p w14:paraId="00FFB9FD" w14:textId="17E66D3A" w:rsidR="00D34444" w:rsidRDefault="00D34444" w:rsidP="00671766">
      <w:pPr>
        <w:pStyle w:val="BodyText"/>
        <w:spacing w:before="1"/>
        <w:ind w:left="760" w:right="-31"/>
        <w:jc w:val="both"/>
      </w:pPr>
      <w:r w:rsidRPr="00D34444">
        <w:t>The length of a fixed-term tenancy will depend on individual circumstances and will be reviewed in-line with their immigration status.</w:t>
      </w:r>
      <w:r>
        <w:t xml:space="preserve"> </w:t>
      </w:r>
      <w:r w:rsidR="00CD5E33">
        <w:t xml:space="preserve">The tenant will be made aware of this from the start of their tenancy. </w:t>
      </w:r>
    </w:p>
    <w:p w14:paraId="24A0261B" w14:textId="77777777" w:rsidR="00CD5E33" w:rsidRDefault="00CD5E33" w:rsidP="00671766">
      <w:pPr>
        <w:pStyle w:val="BodyText"/>
        <w:spacing w:before="1"/>
        <w:ind w:left="760" w:right="-31"/>
        <w:jc w:val="both"/>
      </w:pPr>
    </w:p>
    <w:p w14:paraId="1747AC0F" w14:textId="1D1C43AE" w:rsidR="00CD5E33" w:rsidRDefault="00CD5E33" w:rsidP="00671766">
      <w:pPr>
        <w:pStyle w:val="BodyText"/>
        <w:spacing w:before="1"/>
        <w:ind w:left="760" w:right="-31"/>
        <w:jc w:val="both"/>
      </w:pPr>
      <w:r w:rsidRPr="00CD5E33">
        <w:t xml:space="preserve">If an individual's immigration status changes and they are granted indefinite leave to remain, they will be eligible for a </w:t>
      </w:r>
      <w:r>
        <w:t>p</w:t>
      </w:r>
      <w:r w:rsidRPr="00154FDD">
        <w:t>eriodic, lifetime tenanc</w:t>
      </w:r>
      <w:r>
        <w:t>y</w:t>
      </w:r>
      <w:r w:rsidRPr="00CD5E33">
        <w:t>. This transition reflects their new status and acknowledges their right to reside permanently in the UK.</w:t>
      </w:r>
    </w:p>
    <w:p w14:paraId="001E56FC" w14:textId="77777777" w:rsidR="00881F9C" w:rsidRDefault="00881F9C" w:rsidP="00671766">
      <w:pPr>
        <w:pStyle w:val="BodyText"/>
        <w:spacing w:before="1"/>
        <w:ind w:left="760" w:right="-31"/>
        <w:jc w:val="both"/>
      </w:pPr>
    </w:p>
    <w:p w14:paraId="1FA78C83" w14:textId="0B779C6C" w:rsidR="00881F9C" w:rsidRDefault="00881F9C" w:rsidP="00671766">
      <w:pPr>
        <w:pStyle w:val="BodyText"/>
        <w:spacing w:before="1"/>
        <w:ind w:left="760" w:right="-31"/>
        <w:jc w:val="both"/>
      </w:pPr>
      <w:r w:rsidRPr="00881F9C">
        <w:t>The length of a fixed-term tenancy will depend on individual circumstances and will be reviewed in-line with their immigration status, which will be checked at Tenancy Verification visits. As with fixed term tenancies issued to larger families, or adapted properties, there will be three options at the point of review – either the tenancy will cease, the tenancy will be renewed, or the household will be issued a periodic tenancy for the property they are currently living in.</w:t>
      </w:r>
    </w:p>
    <w:p w14:paraId="0246AC36" w14:textId="77777777" w:rsidR="00D34444" w:rsidRPr="00AC5278" w:rsidRDefault="00D34444" w:rsidP="00097103">
      <w:pPr>
        <w:pStyle w:val="BodyText"/>
        <w:spacing w:before="1"/>
        <w:ind w:right="-31"/>
      </w:pPr>
    </w:p>
    <w:p w14:paraId="655DF1E6" w14:textId="5A1172D2" w:rsidR="00801198" w:rsidRPr="00AC5278" w:rsidRDefault="000F3BE9" w:rsidP="00097103">
      <w:pPr>
        <w:pStyle w:val="Heading1"/>
        <w:numPr>
          <w:ilvl w:val="1"/>
          <w:numId w:val="5"/>
        </w:numPr>
        <w:tabs>
          <w:tab w:val="left" w:pos="1300"/>
          <w:tab w:val="left" w:pos="1301"/>
        </w:tabs>
        <w:ind w:left="1276" w:right="-31"/>
      </w:pPr>
      <w:r>
        <w:t>I</w:t>
      </w:r>
      <w:r w:rsidR="00CA3EFD" w:rsidRPr="00AC5278">
        <w:t>ssuing of fixed term tenancies</w:t>
      </w:r>
    </w:p>
    <w:p w14:paraId="655DF1E7" w14:textId="77777777" w:rsidR="00801198" w:rsidRPr="00AC5278" w:rsidRDefault="00801198" w:rsidP="00097103">
      <w:pPr>
        <w:pStyle w:val="BodyText"/>
        <w:ind w:right="-31"/>
        <w:rPr>
          <w:bCs/>
        </w:rPr>
      </w:pPr>
    </w:p>
    <w:p w14:paraId="4B51CB50" w14:textId="34A113CB" w:rsidR="00097103" w:rsidRDefault="00881F9C" w:rsidP="00671766">
      <w:pPr>
        <w:pStyle w:val="BodyText"/>
        <w:spacing w:before="1"/>
        <w:ind w:left="709" w:right="-31"/>
        <w:jc w:val="both"/>
      </w:pPr>
      <w:r w:rsidRPr="00881F9C">
        <w:t xml:space="preserve">Where the fixed term tenancy relates to the property type, the fixed term offer should be made explicit in the advertisement for the property, so applicants are aware prior to bidding. Where the fixed term tenancy relates to the household characteristics, the </w:t>
      </w:r>
      <w:r w:rsidRPr="00881F9C">
        <w:lastRenderedPageBreak/>
        <w:t>fixed term offer should be made explicit by the Council when the applicant applies for rehousing.</w:t>
      </w:r>
    </w:p>
    <w:p w14:paraId="41F79BCB" w14:textId="77777777" w:rsidR="00881F9C" w:rsidRPr="00826022" w:rsidRDefault="00881F9C" w:rsidP="00097103">
      <w:pPr>
        <w:pStyle w:val="BodyText"/>
        <w:spacing w:before="1"/>
        <w:ind w:right="-31"/>
      </w:pPr>
    </w:p>
    <w:p w14:paraId="655DF1F1" w14:textId="644AEB19" w:rsidR="00801198" w:rsidRPr="00826022" w:rsidRDefault="00CA3EFD" w:rsidP="00097103">
      <w:pPr>
        <w:pStyle w:val="Heading1"/>
        <w:numPr>
          <w:ilvl w:val="1"/>
          <w:numId w:val="5"/>
        </w:numPr>
        <w:ind w:left="1276" w:right="-31"/>
      </w:pPr>
      <w:r w:rsidRPr="00826022">
        <w:t>Granting a further</w:t>
      </w:r>
      <w:r w:rsidRPr="00826022">
        <w:rPr>
          <w:spacing w:val="-1"/>
        </w:rPr>
        <w:t xml:space="preserve"> </w:t>
      </w:r>
      <w:r w:rsidRPr="00826022">
        <w:t>tenancy</w:t>
      </w:r>
    </w:p>
    <w:p w14:paraId="655DF1F4" w14:textId="77777777" w:rsidR="00801198" w:rsidRPr="00335E5A" w:rsidRDefault="00801198" w:rsidP="00097103">
      <w:pPr>
        <w:pStyle w:val="BodyText"/>
        <w:ind w:right="-31" w:hanging="540"/>
      </w:pPr>
    </w:p>
    <w:p w14:paraId="18C9DDF3" w14:textId="3661551F" w:rsidR="00881F9C" w:rsidRDefault="00881F9C" w:rsidP="00671766">
      <w:pPr>
        <w:tabs>
          <w:tab w:val="left" w:pos="1481"/>
        </w:tabs>
        <w:spacing w:before="1"/>
        <w:ind w:left="709" w:right="-31"/>
        <w:jc w:val="both"/>
        <w:rPr>
          <w:sz w:val="24"/>
          <w:szCs w:val="24"/>
        </w:rPr>
      </w:pPr>
      <w:r w:rsidRPr="00881F9C">
        <w:rPr>
          <w:sz w:val="24"/>
          <w:szCs w:val="24"/>
        </w:rPr>
        <w:t xml:space="preserve">Twelve months before the fixed term tenancy is due to expire, a review is </w:t>
      </w:r>
      <w:r w:rsidR="00670E56">
        <w:rPr>
          <w:sz w:val="24"/>
          <w:szCs w:val="24"/>
        </w:rPr>
        <w:t xml:space="preserve">to </w:t>
      </w:r>
      <w:r w:rsidRPr="00881F9C">
        <w:rPr>
          <w:sz w:val="24"/>
          <w:szCs w:val="24"/>
        </w:rPr>
        <w:t>be carried out to determine the household’s future housing need:</w:t>
      </w:r>
    </w:p>
    <w:p w14:paraId="2C71B830" w14:textId="77777777" w:rsidR="00881F9C" w:rsidRDefault="00881F9C" w:rsidP="00881F9C">
      <w:pPr>
        <w:tabs>
          <w:tab w:val="left" w:pos="1481"/>
        </w:tabs>
        <w:spacing w:before="1"/>
        <w:ind w:left="709" w:right="-31"/>
        <w:rPr>
          <w:sz w:val="24"/>
          <w:szCs w:val="24"/>
        </w:rPr>
      </w:pPr>
    </w:p>
    <w:p w14:paraId="504542A0" w14:textId="26AFAA07" w:rsidR="00671766" w:rsidRPr="00671766" w:rsidRDefault="00881F9C" w:rsidP="00A444EC">
      <w:pPr>
        <w:pStyle w:val="ListParagraph"/>
        <w:numPr>
          <w:ilvl w:val="0"/>
          <w:numId w:val="24"/>
        </w:numPr>
        <w:tabs>
          <w:tab w:val="left" w:pos="1481"/>
        </w:tabs>
        <w:spacing w:before="1"/>
        <w:ind w:left="1418" w:right="-31" w:hanging="709"/>
        <w:rPr>
          <w:sz w:val="24"/>
          <w:szCs w:val="24"/>
        </w:rPr>
      </w:pPr>
      <w:r w:rsidRPr="00881F9C">
        <w:rPr>
          <w:b/>
          <w:bCs/>
          <w:sz w:val="24"/>
          <w:szCs w:val="24"/>
        </w:rPr>
        <w:t>Fixed term tenancies issued to families in larger family homes</w:t>
      </w:r>
      <w:r w:rsidR="005B4584" w:rsidRPr="00881F9C">
        <w:rPr>
          <w:b/>
          <w:bCs/>
          <w:sz w:val="24"/>
          <w:szCs w:val="24"/>
        </w:rPr>
        <w:t xml:space="preserve">. </w:t>
      </w:r>
    </w:p>
    <w:p w14:paraId="7018A580" w14:textId="136D77CF" w:rsidR="00881F9C" w:rsidRPr="00881F9C" w:rsidRDefault="00A444EC" w:rsidP="00A444EC">
      <w:pPr>
        <w:pStyle w:val="ListParagraph"/>
        <w:tabs>
          <w:tab w:val="left" w:pos="1481"/>
        </w:tabs>
        <w:spacing w:before="1"/>
        <w:ind w:left="1418" w:right="-31" w:hanging="709"/>
        <w:rPr>
          <w:sz w:val="24"/>
          <w:szCs w:val="24"/>
        </w:rPr>
      </w:pPr>
      <w:r>
        <w:rPr>
          <w:sz w:val="24"/>
          <w:szCs w:val="24"/>
        </w:rPr>
        <w:tab/>
      </w:r>
      <w:r w:rsidR="00881F9C" w:rsidRPr="00881F9C">
        <w:rPr>
          <w:sz w:val="24"/>
          <w:szCs w:val="24"/>
        </w:rPr>
        <w:t xml:space="preserve">If younger members of the household have secured alternative accommodation the fixed term tenancy </w:t>
      </w:r>
      <w:r w:rsidR="00671766" w:rsidRPr="00881F9C">
        <w:rPr>
          <w:sz w:val="24"/>
          <w:szCs w:val="24"/>
        </w:rPr>
        <w:t>ceases,</w:t>
      </w:r>
      <w:r w:rsidR="00881F9C" w:rsidRPr="00881F9C">
        <w:rPr>
          <w:sz w:val="24"/>
          <w:szCs w:val="24"/>
        </w:rPr>
        <w:t xml:space="preserve"> and the tenants will be offered a periodic tenancy for a property which better suits the needs and size of the household. </w:t>
      </w:r>
      <w:r w:rsidR="00881F9C">
        <w:rPr>
          <w:sz w:val="24"/>
          <w:szCs w:val="24"/>
        </w:rPr>
        <w:br/>
      </w:r>
      <w:r w:rsidR="00881F9C">
        <w:rPr>
          <w:sz w:val="24"/>
          <w:szCs w:val="24"/>
        </w:rPr>
        <w:br/>
      </w:r>
      <w:r w:rsidR="00881F9C" w:rsidRPr="00881F9C">
        <w:rPr>
          <w:sz w:val="24"/>
          <w:szCs w:val="24"/>
        </w:rPr>
        <w:t xml:space="preserve">If the household remains unchanged tenants are offered another, shorter, fixed term </w:t>
      </w:r>
      <w:r w:rsidR="00671766" w:rsidRPr="00881F9C">
        <w:rPr>
          <w:sz w:val="24"/>
          <w:szCs w:val="24"/>
        </w:rPr>
        <w:t xml:space="preserve">tenancy </w:t>
      </w:r>
      <w:r w:rsidR="00671766">
        <w:rPr>
          <w:sz w:val="24"/>
          <w:szCs w:val="24"/>
        </w:rPr>
        <w:t>of</w:t>
      </w:r>
      <w:r w:rsidR="009C4AB5">
        <w:rPr>
          <w:sz w:val="24"/>
          <w:szCs w:val="24"/>
        </w:rPr>
        <w:t xml:space="preserve"> </w:t>
      </w:r>
      <w:r w:rsidR="00881F9C" w:rsidRPr="00881F9C">
        <w:rPr>
          <w:sz w:val="24"/>
          <w:szCs w:val="24"/>
        </w:rPr>
        <w:t>3 years</w:t>
      </w:r>
      <w:r w:rsidR="005B4584" w:rsidRPr="00881F9C">
        <w:rPr>
          <w:sz w:val="24"/>
          <w:szCs w:val="24"/>
        </w:rPr>
        <w:t xml:space="preserve">. </w:t>
      </w:r>
    </w:p>
    <w:p w14:paraId="7C921C8D" w14:textId="77777777" w:rsidR="00881F9C" w:rsidRPr="00881F9C" w:rsidRDefault="00881F9C" w:rsidP="00A444EC">
      <w:pPr>
        <w:tabs>
          <w:tab w:val="left" w:pos="1481"/>
        </w:tabs>
        <w:spacing w:before="1"/>
        <w:ind w:left="1418" w:right="-31" w:hanging="709"/>
        <w:rPr>
          <w:sz w:val="24"/>
          <w:szCs w:val="24"/>
        </w:rPr>
      </w:pPr>
    </w:p>
    <w:p w14:paraId="79852C96" w14:textId="088330C1" w:rsidR="00671766" w:rsidRDefault="00881F9C" w:rsidP="00A444EC">
      <w:pPr>
        <w:pStyle w:val="ListParagraph"/>
        <w:numPr>
          <w:ilvl w:val="0"/>
          <w:numId w:val="24"/>
        </w:numPr>
        <w:tabs>
          <w:tab w:val="left" w:pos="1481"/>
        </w:tabs>
        <w:spacing w:before="1"/>
        <w:ind w:left="1418" w:right="-31" w:hanging="709"/>
        <w:jc w:val="both"/>
        <w:rPr>
          <w:sz w:val="24"/>
          <w:szCs w:val="24"/>
        </w:rPr>
      </w:pPr>
      <w:r w:rsidRPr="00881F9C">
        <w:rPr>
          <w:b/>
          <w:bCs/>
          <w:sz w:val="24"/>
          <w:szCs w:val="24"/>
        </w:rPr>
        <w:t>Fixed term tenancies issued to families with a disabled household member</w:t>
      </w:r>
      <w:r w:rsidR="005B4584" w:rsidRPr="00881F9C">
        <w:rPr>
          <w:b/>
          <w:bCs/>
          <w:sz w:val="24"/>
          <w:szCs w:val="24"/>
        </w:rPr>
        <w:t xml:space="preserve">. </w:t>
      </w:r>
      <w:r w:rsidRPr="00881F9C">
        <w:rPr>
          <w:sz w:val="24"/>
          <w:szCs w:val="24"/>
        </w:rPr>
        <w:t>If the household remains unchanged the tenants will be offered another fixed term tenancy for five years</w:t>
      </w:r>
      <w:r w:rsidR="005B4584" w:rsidRPr="00881F9C">
        <w:rPr>
          <w:sz w:val="24"/>
          <w:szCs w:val="24"/>
        </w:rPr>
        <w:t xml:space="preserve">. </w:t>
      </w:r>
    </w:p>
    <w:p w14:paraId="46C2C3FC" w14:textId="77777777" w:rsidR="00671766" w:rsidRDefault="00671766" w:rsidP="00A444EC">
      <w:pPr>
        <w:pStyle w:val="ListParagraph"/>
        <w:tabs>
          <w:tab w:val="left" w:pos="1481"/>
        </w:tabs>
        <w:spacing w:before="1"/>
        <w:ind w:left="1418" w:right="-31" w:hanging="709"/>
        <w:jc w:val="both"/>
        <w:rPr>
          <w:b/>
          <w:bCs/>
          <w:sz w:val="24"/>
          <w:szCs w:val="24"/>
        </w:rPr>
      </w:pPr>
    </w:p>
    <w:p w14:paraId="19B8D5BE" w14:textId="699A0A27" w:rsidR="00881F9C" w:rsidRPr="00881F9C" w:rsidRDefault="00A444EC" w:rsidP="00A444EC">
      <w:pPr>
        <w:pStyle w:val="ListParagraph"/>
        <w:tabs>
          <w:tab w:val="left" w:pos="1481"/>
        </w:tabs>
        <w:spacing w:before="1"/>
        <w:ind w:left="1418" w:right="-31" w:hanging="709"/>
        <w:jc w:val="both"/>
        <w:rPr>
          <w:sz w:val="24"/>
          <w:szCs w:val="24"/>
        </w:rPr>
      </w:pPr>
      <w:r>
        <w:rPr>
          <w:sz w:val="24"/>
          <w:szCs w:val="24"/>
        </w:rPr>
        <w:tab/>
      </w:r>
      <w:r w:rsidR="00881F9C" w:rsidRPr="00881F9C">
        <w:rPr>
          <w:sz w:val="24"/>
          <w:szCs w:val="24"/>
        </w:rPr>
        <w:t xml:space="preserve">If the household does not qualify for tenancy renewal and does not wish to move to a more suitable property, notices will be served, the fixed term tenancy will </w:t>
      </w:r>
      <w:r w:rsidR="00671766" w:rsidRPr="00881F9C">
        <w:rPr>
          <w:sz w:val="24"/>
          <w:szCs w:val="24"/>
        </w:rPr>
        <w:t>end,</w:t>
      </w:r>
      <w:r w:rsidR="00881F9C" w:rsidRPr="00881F9C">
        <w:rPr>
          <w:sz w:val="24"/>
          <w:szCs w:val="24"/>
        </w:rPr>
        <w:t xml:space="preserve"> and the family will find alternative accommodation independently.</w:t>
      </w:r>
    </w:p>
    <w:p w14:paraId="62EC9B5C" w14:textId="77777777" w:rsidR="00881F9C" w:rsidRPr="00881F9C" w:rsidRDefault="00881F9C" w:rsidP="00A444EC">
      <w:pPr>
        <w:tabs>
          <w:tab w:val="left" w:pos="1481"/>
        </w:tabs>
        <w:spacing w:before="1"/>
        <w:ind w:left="1418" w:right="-31" w:hanging="709"/>
        <w:rPr>
          <w:sz w:val="24"/>
          <w:szCs w:val="24"/>
        </w:rPr>
      </w:pPr>
    </w:p>
    <w:p w14:paraId="6969AC25" w14:textId="77777777" w:rsidR="00881F9C" w:rsidRPr="00881F9C" w:rsidRDefault="00881F9C" w:rsidP="00A444EC">
      <w:pPr>
        <w:tabs>
          <w:tab w:val="left" w:pos="1481"/>
        </w:tabs>
        <w:spacing w:before="1"/>
        <w:ind w:left="1418" w:right="-31" w:hanging="709"/>
        <w:rPr>
          <w:sz w:val="24"/>
          <w:szCs w:val="24"/>
        </w:rPr>
      </w:pPr>
    </w:p>
    <w:p w14:paraId="3D7E53F4" w14:textId="77777777" w:rsidR="00671766" w:rsidRPr="00671766" w:rsidRDefault="00881F9C" w:rsidP="00A444EC">
      <w:pPr>
        <w:pStyle w:val="ListParagraph"/>
        <w:numPr>
          <w:ilvl w:val="0"/>
          <w:numId w:val="24"/>
        </w:numPr>
        <w:tabs>
          <w:tab w:val="left" w:pos="1481"/>
        </w:tabs>
        <w:spacing w:before="1"/>
        <w:ind w:left="1418" w:right="-31" w:hanging="709"/>
        <w:rPr>
          <w:sz w:val="24"/>
        </w:rPr>
      </w:pPr>
      <w:r w:rsidRPr="00E35354">
        <w:rPr>
          <w:b/>
          <w:bCs/>
          <w:sz w:val="24"/>
          <w:szCs w:val="24"/>
        </w:rPr>
        <w:t>Fixed term tenancies to individuals who do not have indefinite leave to remain but can still receive social housing.</w:t>
      </w:r>
      <w:r w:rsidRPr="00E35354">
        <w:rPr>
          <w:sz w:val="24"/>
          <w:szCs w:val="24"/>
        </w:rPr>
        <w:t xml:space="preserve"> </w:t>
      </w:r>
    </w:p>
    <w:p w14:paraId="655DF1F9" w14:textId="55845EB9" w:rsidR="00801198" w:rsidRPr="00E35354" w:rsidRDefault="00A444EC" w:rsidP="00A444EC">
      <w:pPr>
        <w:pStyle w:val="ListParagraph"/>
        <w:tabs>
          <w:tab w:val="left" w:pos="1481"/>
        </w:tabs>
        <w:spacing w:before="1"/>
        <w:ind w:left="1418" w:right="-31" w:hanging="709"/>
        <w:jc w:val="both"/>
        <w:rPr>
          <w:sz w:val="24"/>
        </w:rPr>
      </w:pPr>
      <w:r>
        <w:rPr>
          <w:sz w:val="24"/>
          <w:szCs w:val="24"/>
        </w:rPr>
        <w:tab/>
      </w:r>
      <w:r w:rsidR="00881F9C" w:rsidRPr="00E35354">
        <w:rPr>
          <w:sz w:val="24"/>
          <w:szCs w:val="24"/>
        </w:rPr>
        <w:t>If an individual's immigration status changes and they are granted indefinite leave to remain, they will be eligible for a periodic, lifetime tenancy. This transition reflects their new status and acknowledges their right to reside permanently in the UK.</w:t>
      </w:r>
      <w:r w:rsidR="001A0C1C" w:rsidRPr="00E35354">
        <w:rPr>
          <w:sz w:val="24"/>
          <w:szCs w:val="24"/>
        </w:rPr>
        <w:br/>
      </w:r>
    </w:p>
    <w:p w14:paraId="655DF1FA" w14:textId="28D03E23" w:rsidR="00801198" w:rsidRPr="00826022" w:rsidRDefault="00CA3EFD" w:rsidP="00097103">
      <w:pPr>
        <w:pStyle w:val="Heading1"/>
        <w:numPr>
          <w:ilvl w:val="1"/>
          <w:numId w:val="5"/>
        </w:numPr>
        <w:tabs>
          <w:tab w:val="left" w:pos="1300"/>
        </w:tabs>
        <w:ind w:left="1276" w:right="-31"/>
      </w:pPr>
      <w:r w:rsidRPr="00AC5278">
        <w:t>Mutual</w:t>
      </w:r>
      <w:r w:rsidRPr="00AC5278">
        <w:rPr>
          <w:spacing w:val="-1"/>
        </w:rPr>
        <w:t xml:space="preserve"> </w:t>
      </w:r>
      <w:r w:rsidRPr="00826022">
        <w:t>Exchanges</w:t>
      </w:r>
    </w:p>
    <w:p w14:paraId="655DF1FB" w14:textId="77777777" w:rsidR="00801198" w:rsidRPr="00826022" w:rsidRDefault="00801198" w:rsidP="00097103">
      <w:pPr>
        <w:pStyle w:val="BodyText"/>
        <w:ind w:right="-31"/>
        <w:rPr>
          <w:b/>
        </w:rPr>
      </w:pPr>
    </w:p>
    <w:p w14:paraId="655DF1FC" w14:textId="2ED6F145" w:rsidR="00801198" w:rsidRPr="00335E5A" w:rsidRDefault="00CA3EFD" w:rsidP="00671766">
      <w:pPr>
        <w:pStyle w:val="BodyText"/>
        <w:ind w:left="760" w:right="-31"/>
        <w:jc w:val="both"/>
      </w:pPr>
      <w:r w:rsidRPr="00916957">
        <w:t xml:space="preserve">Mutual exchanges involving a tenant, who has a fixed term tenancy agreement, operate differently from exchanges between tenants who </w:t>
      </w:r>
      <w:r w:rsidR="008406A4" w:rsidRPr="00916957">
        <w:t xml:space="preserve">both </w:t>
      </w:r>
      <w:r w:rsidRPr="00916957">
        <w:t>hold per</w:t>
      </w:r>
      <w:r w:rsidR="008406A4" w:rsidRPr="00916957">
        <w:t>iodic</w:t>
      </w:r>
      <w:r w:rsidRPr="00335E5A">
        <w:t xml:space="preserve"> tenancy agreements.</w:t>
      </w:r>
    </w:p>
    <w:p w14:paraId="1A79D9C6" w14:textId="04B857C0" w:rsidR="008406A4" w:rsidRPr="00335E5A" w:rsidRDefault="008406A4" w:rsidP="00671766">
      <w:pPr>
        <w:pStyle w:val="BodyText"/>
        <w:ind w:left="760" w:right="-31"/>
        <w:jc w:val="both"/>
      </w:pPr>
    </w:p>
    <w:p w14:paraId="2F0B0FF5" w14:textId="666EFB25" w:rsidR="008406A4" w:rsidRPr="00335E5A" w:rsidRDefault="008406A4" w:rsidP="00671766">
      <w:pPr>
        <w:pStyle w:val="BodyText"/>
        <w:ind w:left="760" w:right="-31"/>
        <w:jc w:val="both"/>
      </w:pPr>
      <w:r w:rsidRPr="00335E5A">
        <w:t>Ordinarily, where there is a mutual exchange of properties, the tenancy issued remains with each property and is ‘inherited’ by the new occupant.</w:t>
      </w:r>
      <w:r w:rsidR="00FE42EE">
        <w:t xml:space="preserve"> </w:t>
      </w:r>
      <w:r w:rsidRPr="00335E5A">
        <w:t>In the case of a tenant with a periodic tenancy exchanging with a tenant of a fixed term tenancy, both parties will be issued with a periodic tenancy, assuming both sets of tenants meet the Council’s qualification criteria.</w:t>
      </w:r>
    </w:p>
    <w:p w14:paraId="4B361D3A" w14:textId="77777777" w:rsidR="004574E3" w:rsidRPr="00335E5A" w:rsidRDefault="004574E3" w:rsidP="00671766">
      <w:pPr>
        <w:pStyle w:val="BodyText"/>
        <w:ind w:left="760" w:right="-31"/>
        <w:jc w:val="both"/>
      </w:pPr>
    </w:p>
    <w:p w14:paraId="655DF1FE" w14:textId="06F2C1E1" w:rsidR="00801198" w:rsidRPr="00335E5A" w:rsidRDefault="008406A4" w:rsidP="00671766">
      <w:pPr>
        <w:pStyle w:val="BodyText"/>
        <w:ind w:left="760" w:right="-31"/>
        <w:jc w:val="both"/>
      </w:pPr>
      <w:r w:rsidRPr="00335E5A">
        <w:t xml:space="preserve">Mutual Exchanges are processed </w:t>
      </w:r>
      <w:r w:rsidR="004574E3" w:rsidRPr="00335E5A">
        <w:t xml:space="preserve">in accordance with the legislative </w:t>
      </w:r>
      <w:r w:rsidRPr="00335E5A">
        <w:t xml:space="preserve">changes relating to the </w:t>
      </w:r>
      <w:r w:rsidR="00CA3EFD" w:rsidRPr="00335E5A">
        <w:t>Localism Act, 2011</w:t>
      </w:r>
      <w:r w:rsidR="00F619E1" w:rsidRPr="00335E5A">
        <w:t>.</w:t>
      </w:r>
    </w:p>
    <w:p w14:paraId="655DF206" w14:textId="5232AFE7" w:rsidR="00A444EC" w:rsidRDefault="00A444EC">
      <w:pPr>
        <w:rPr>
          <w:sz w:val="23"/>
          <w:szCs w:val="24"/>
        </w:rPr>
      </w:pPr>
      <w:r>
        <w:rPr>
          <w:sz w:val="23"/>
        </w:rPr>
        <w:br w:type="page"/>
      </w:r>
    </w:p>
    <w:p w14:paraId="7D9322CE" w14:textId="77777777" w:rsidR="00801198" w:rsidRDefault="00801198" w:rsidP="00097103">
      <w:pPr>
        <w:pStyle w:val="BodyText"/>
        <w:spacing w:before="11"/>
        <w:ind w:left="760" w:right="-31"/>
        <w:rPr>
          <w:sz w:val="23"/>
        </w:rPr>
      </w:pPr>
    </w:p>
    <w:p w14:paraId="09D7977A" w14:textId="591C8FE8" w:rsidR="00227F55" w:rsidRPr="000E4DFB" w:rsidRDefault="00227F55" w:rsidP="00097103">
      <w:pPr>
        <w:pStyle w:val="BodyText"/>
        <w:tabs>
          <w:tab w:val="left" w:pos="1276"/>
        </w:tabs>
        <w:spacing w:before="11"/>
        <w:ind w:left="1276" w:right="-31" w:hanging="567"/>
        <w:rPr>
          <w:b/>
          <w:bCs/>
        </w:rPr>
      </w:pPr>
      <w:r w:rsidRPr="000E4DFB">
        <w:rPr>
          <w:b/>
          <w:bCs/>
        </w:rPr>
        <w:t>5.</w:t>
      </w:r>
      <w:r w:rsidR="006D66E9">
        <w:rPr>
          <w:b/>
          <w:bCs/>
        </w:rPr>
        <w:t>8</w:t>
      </w:r>
      <w:r w:rsidRPr="000E4DFB">
        <w:rPr>
          <w:b/>
          <w:bCs/>
        </w:rPr>
        <w:tab/>
        <w:t>Existing tenants transferring to adapted properties or larger family homes</w:t>
      </w:r>
      <w:r w:rsidR="005C7E80">
        <w:rPr>
          <w:b/>
          <w:bCs/>
        </w:rPr>
        <w:t>.</w:t>
      </w:r>
    </w:p>
    <w:p w14:paraId="1BFC26F5" w14:textId="41AE463C" w:rsidR="00227F55" w:rsidRDefault="00227F55" w:rsidP="00097103">
      <w:pPr>
        <w:pStyle w:val="BodyText"/>
        <w:spacing w:before="11"/>
        <w:ind w:left="760" w:right="-31"/>
        <w:rPr>
          <w:sz w:val="23"/>
        </w:rPr>
      </w:pPr>
    </w:p>
    <w:p w14:paraId="55C93E97" w14:textId="51EDA983" w:rsidR="00227F55" w:rsidRPr="00FE42EE" w:rsidRDefault="00227F55" w:rsidP="005C7E80">
      <w:pPr>
        <w:pStyle w:val="BodyText"/>
        <w:spacing w:before="11"/>
        <w:ind w:left="709" w:right="-31"/>
        <w:jc w:val="both"/>
        <w:rPr>
          <w:szCs w:val="28"/>
        </w:rPr>
      </w:pPr>
      <w:r w:rsidRPr="00FE42EE">
        <w:rPr>
          <w:szCs w:val="28"/>
        </w:rPr>
        <w:t>Fixed term tenancies should be issued to new Council tenants only.</w:t>
      </w:r>
      <w:r w:rsidR="00FE42EE">
        <w:rPr>
          <w:szCs w:val="28"/>
        </w:rPr>
        <w:t xml:space="preserve"> </w:t>
      </w:r>
      <w:r w:rsidRPr="00FE42EE">
        <w:rPr>
          <w:szCs w:val="28"/>
        </w:rPr>
        <w:t>Where an existing tenant transfers to a larger family home or an adapted property, the tenant should be issued with the same tenancy type which they held for their previous property.</w:t>
      </w:r>
    </w:p>
    <w:p w14:paraId="6F07AF21" w14:textId="77777777" w:rsidR="00227F55" w:rsidRDefault="00227F55" w:rsidP="00097103">
      <w:pPr>
        <w:pStyle w:val="BodyText"/>
        <w:spacing w:before="11"/>
        <w:ind w:left="760" w:right="-31"/>
        <w:rPr>
          <w:sz w:val="23"/>
        </w:rPr>
      </w:pPr>
    </w:p>
    <w:p w14:paraId="605598F6" w14:textId="37C98CED" w:rsidR="00E26835" w:rsidRPr="00154FDD" w:rsidRDefault="00E26835" w:rsidP="00097103">
      <w:pPr>
        <w:pStyle w:val="BodyText"/>
        <w:tabs>
          <w:tab w:val="left" w:pos="1276"/>
        </w:tabs>
        <w:ind w:left="709" w:right="-31"/>
        <w:rPr>
          <w:b/>
          <w:bCs/>
        </w:rPr>
      </w:pPr>
      <w:r>
        <w:rPr>
          <w:b/>
          <w:bCs/>
        </w:rPr>
        <w:t>5.</w:t>
      </w:r>
      <w:r w:rsidR="006D66E9">
        <w:rPr>
          <w:b/>
          <w:bCs/>
        </w:rPr>
        <w:t>9</w:t>
      </w:r>
      <w:r>
        <w:rPr>
          <w:b/>
          <w:bCs/>
        </w:rPr>
        <w:tab/>
      </w:r>
      <w:bookmarkStart w:id="2" w:name="_Hlk75867391"/>
      <w:r w:rsidRPr="00154FDD">
        <w:rPr>
          <w:b/>
          <w:bCs/>
        </w:rPr>
        <w:t>Tenants fleeing domestic abuse</w:t>
      </w:r>
      <w:r w:rsidR="005C7E80">
        <w:rPr>
          <w:b/>
          <w:bCs/>
        </w:rPr>
        <w:t>.</w:t>
      </w:r>
    </w:p>
    <w:bookmarkEnd w:id="2"/>
    <w:p w14:paraId="4EDA03D0" w14:textId="77777777" w:rsidR="00E26835" w:rsidRDefault="00E26835" w:rsidP="00097103">
      <w:pPr>
        <w:pStyle w:val="BodyText"/>
        <w:ind w:left="220" w:right="-31"/>
      </w:pPr>
    </w:p>
    <w:p w14:paraId="1CD1125D" w14:textId="0B1DA2A8" w:rsidR="00E26835" w:rsidRDefault="00E26835" w:rsidP="005C7E80">
      <w:pPr>
        <w:pStyle w:val="BodyText"/>
        <w:ind w:left="709" w:right="-31"/>
        <w:jc w:val="both"/>
      </w:pPr>
      <w:r>
        <w:t>The Domestic Abuse Act received Royal Assent in April 2021.</w:t>
      </w:r>
      <w:r w:rsidR="00FE42EE">
        <w:t xml:space="preserve"> </w:t>
      </w:r>
      <w:r>
        <w:t>In November 2021 secure tenancy provision for those fleeing domestic abuse</w:t>
      </w:r>
      <w:r w:rsidR="003B7282">
        <w:t xml:space="preserve"> was brought into force under S.81ZA Housing Act 1985</w:t>
      </w:r>
      <w:r>
        <w:t>.</w:t>
      </w:r>
      <w:r w:rsidR="00FE42EE">
        <w:t xml:space="preserve"> </w:t>
      </w:r>
    </w:p>
    <w:p w14:paraId="1BBA3E6C" w14:textId="77777777" w:rsidR="00E26835" w:rsidRDefault="00E26835" w:rsidP="005C7E80">
      <w:pPr>
        <w:pStyle w:val="BodyText"/>
        <w:ind w:left="709" w:right="-31"/>
        <w:jc w:val="both"/>
      </w:pPr>
    </w:p>
    <w:p w14:paraId="52F97765" w14:textId="0C45F63C" w:rsidR="00E26835" w:rsidRDefault="00E26835" w:rsidP="005C7E80">
      <w:pPr>
        <w:pStyle w:val="BodyText"/>
        <w:ind w:left="709" w:right="-31"/>
        <w:jc w:val="both"/>
      </w:pPr>
      <w:r w:rsidRPr="00154FDD">
        <w:t>The secure tenancy provision in the Act (s.79) ensure</w:t>
      </w:r>
      <w:r>
        <w:t>s</w:t>
      </w:r>
      <w:r w:rsidRPr="00154FDD">
        <w:t xml:space="preserve"> that, where </w:t>
      </w:r>
      <w:r w:rsidR="000E4DFB">
        <w:t xml:space="preserve">the Council </w:t>
      </w:r>
      <w:r w:rsidRPr="00154FDD">
        <w:t xml:space="preserve">grants a new tenancy to a victim who has or had a lifetime tenancy (whether with a local authority or housing association landlord), the </w:t>
      </w:r>
      <w:r>
        <w:t xml:space="preserve">new </w:t>
      </w:r>
      <w:r w:rsidRPr="00154FDD">
        <w:t xml:space="preserve">tenancy must also be a lifetime tenancy if: </w:t>
      </w:r>
    </w:p>
    <w:p w14:paraId="1442002D" w14:textId="77777777" w:rsidR="00A444EC" w:rsidRDefault="00A444EC" w:rsidP="005C7E80">
      <w:pPr>
        <w:pStyle w:val="BodyText"/>
        <w:ind w:left="709" w:right="-31"/>
        <w:jc w:val="both"/>
      </w:pPr>
    </w:p>
    <w:p w14:paraId="47664671" w14:textId="1CDAD906" w:rsidR="00E26835" w:rsidRDefault="001A0C1C" w:rsidP="005C7E80">
      <w:pPr>
        <w:pStyle w:val="BodyText"/>
        <w:numPr>
          <w:ilvl w:val="0"/>
          <w:numId w:val="17"/>
        </w:numPr>
        <w:tabs>
          <w:tab w:val="left" w:pos="3828"/>
        </w:tabs>
        <w:ind w:left="1418" w:right="-31"/>
        <w:jc w:val="both"/>
      </w:pPr>
      <w:r>
        <w:t>T</w:t>
      </w:r>
      <w:r w:rsidR="00E26835" w:rsidRPr="00154FDD">
        <w:t>he local authority is satisfied that the person is or was a victim of domestic abuse, and</w:t>
      </w:r>
    </w:p>
    <w:p w14:paraId="39A93458" w14:textId="6556D21A" w:rsidR="00E26835" w:rsidRDefault="001A0C1C" w:rsidP="005C7E80">
      <w:pPr>
        <w:pStyle w:val="BodyText"/>
        <w:numPr>
          <w:ilvl w:val="0"/>
          <w:numId w:val="17"/>
        </w:numPr>
        <w:tabs>
          <w:tab w:val="left" w:pos="3828"/>
        </w:tabs>
        <w:ind w:left="1418" w:right="-31"/>
        <w:jc w:val="both"/>
      </w:pPr>
      <w:r>
        <w:t>T</w:t>
      </w:r>
      <w:r w:rsidR="00E26835" w:rsidRPr="00154FDD">
        <w:t xml:space="preserve">he new tenancy is granted for reasons connected with that </w:t>
      </w:r>
      <w:r w:rsidR="005B4584" w:rsidRPr="00154FDD">
        <w:t>abuse.</w:t>
      </w:r>
    </w:p>
    <w:p w14:paraId="2B49DEE6" w14:textId="77777777" w:rsidR="00E26835" w:rsidRDefault="00E26835" w:rsidP="005C7E80">
      <w:pPr>
        <w:pStyle w:val="BodyText"/>
        <w:tabs>
          <w:tab w:val="left" w:pos="3828"/>
        </w:tabs>
        <w:ind w:left="1276" w:right="-31"/>
        <w:jc w:val="both"/>
      </w:pPr>
    </w:p>
    <w:p w14:paraId="79D8845E" w14:textId="4A302B2D" w:rsidR="004B03D0" w:rsidRPr="00154FDD" w:rsidRDefault="00E26835" w:rsidP="005C7E80">
      <w:pPr>
        <w:pStyle w:val="BodyText"/>
        <w:tabs>
          <w:tab w:val="left" w:pos="3828"/>
        </w:tabs>
        <w:ind w:left="709" w:right="-31"/>
        <w:jc w:val="both"/>
      </w:pPr>
      <w:r w:rsidRPr="00154FDD">
        <w:t>The provision also protects victims of domestic abuse who have a joint lifetime tenancy and wish to remain in their local authority home after the perpetrator has left.</w:t>
      </w:r>
      <w:r w:rsidR="00FE42EE">
        <w:t xml:space="preserve"> </w:t>
      </w:r>
      <w:r w:rsidRPr="00154FDD">
        <w:t>It will ensure that, where a local authority decides to grant a new sole tenancy to the victim in connection with that abuse, it must be a further lifetime tenancy</w:t>
      </w:r>
      <w:r>
        <w:t>.</w:t>
      </w:r>
    </w:p>
    <w:p w14:paraId="5F0F9136" w14:textId="77777777" w:rsidR="00E26835" w:rsidRPr="00335E5A" w:rsidRDefault="00E26835" w:rsidP="00097103">
      <w:pPr>
        <w:pStyle w:val="BodyText"/>
        <w:spacing w:before="11"/>
        <w:ind w:left="709" w:right="-31"/>
        <w:rPr>
          <w:sz w:val="23"/>
        </w:rPr>
      </w:pPr>
    </w:p>
    <w:p w14:paraId="655DF207" w14:textId="7ECB9226" w:rsidR="00801198" w:rsidRPr="00916957" w:rsidRDefault="00CA3EFD" w:rsidP="00097103">
      <w:pPr>
        <w:pStyle w:val="Heading1"/>
        <w:numPr>
          <w:ilvl w:val="0"/>
          <w:numId w:val="13"/>
        </w:numPr>
        <w:tabs>
          <w:tab w:val="left" w:pos="760"/>
          <w:tab w:val="left" w:pos="761"/>
        </w:tabs>
        <w:ind w:right="-31"/>
      </w:pPr>
      <w:r w:rsidRPr="00916957">
        <w:t>APPEAL AND</w:t>
      </w:r>
      <w:r w:rsidRPr="00916957">
        <w:rPr>
          <w:spacing w:val="3"/>
        </w:rPr>
        <w:t xml:space="preserve"> </w:t>
      </w:r>
      <w:r w:rsidRPr="00916957">
        <w:t>MONITORING</w:t>
      </w:r>
    </w:p>
    <w:p w14:paraId="655DF208" w14:textId="77777777" w:rsidR="00801198" w:rsidRPr="00916957" w:rsidRDefault="00801198" w:rsidP="00097103">
      <w:pPr>
        <w:pStyle w:val="BodyText"/>
        <w:ind w:left="760" w:right="-31"/>
        <w:rPr>
          <w:b/>
        </w:rPr>
      </w:pPr>
    </w:p>
    <w:p w14:paraId="655DF209" w14:textId="5107B82A" w:rsidR="00801198" w:rsidRPr="00916957" w:rsidRDefault="00CA3EFD" w:rsidP="00097103">
      <w:pPr>
        <w:pStyle w:val="ListParagraph"/>
        <w:numPr>
          <w:ilvl w:val="1"/>
          <w:numId w:val="13"/>
        </w:numPr>
        <w:ind w:left="1276" w:right="-31" w:hanging="567"/>
        <w:rPr>
          <w:b/>
          <w:sz w:val="24"/>
        </w:rPr>
      </w:pPr>
      <w:r w:rsidRPr="00916957">
        <w:rPr>
          <w:b/>
          <w:sz w:val="24"/>
        </w:rPr>
        <w:t>Appeal</w:t>
      </w:r>
      <w:r w:rsidR="00F8753C" w:rsidRPr="00916957">
        <w:rPr>
          <w:b/>
          <w:sz w:val="24"/>
        </w:rPr>
        <w:t>s</w:t>
      </w:r>
    </w:p>
    <w:p w14:paraId="655DF20A" w14:textId="77777777" w:rsidR="00801198" w:rsidRPr="00AC5278" w:rsidRDefault="00801198" w:rsidP="00097103">
      <w:pPr>
        <w:pStyle w:val="BodyText"/>
        <w:ind w:left="760" w:right="-31" w:hanging="567"/>
        <w:rPr>
          <w:b/>
        </w:rPr>
      </w:pPr>
    </w:p>
    <w:p w14:paraId="655DF20B" w14:textId="694E93E8" w:rsidR="00801198" w:rsidRPr="00335E5A" w:rsidRDefault="00CA3EFD" w:rsidP="00097103">
      <w:pPr>
        <w:pStyle w:val="BodyText"/>
        <w:ind w:left="760" w:right="-31" w:hanging="51"/>
      </w:pPr>
      <w:r w:rsidRPr="00AC5278">
        <w:t xml:space="preserve">The Government </w:t>
      </w:r>
      <w:r w:rsidRPr="00335E5A">
        <w:t>introduced a procedure to review decisions relating to fixed term tenancies.</w:t>
      </w:r>
      <w:r w:rsidR="00FE42EE">
        <w:t xml:space="preserve"> </w:t>
      </w:r>
      <w:r w:rsidRPr="00335E5A">
        <w:t>There are only two circumstances in which a review can take place</w:t>
      </w:r>
      <w:r w:rsidR="00982B09">
        <w:t>:</w:t>
      </w:r>
    </w:p>
    <w:p w14:paraId="655DF20C" w14:textId="77777777" w:rsidR="00801198" w:rsidRPr="00335E5A" w:rsidRDefault="00801198" w:rsidP="00097103">
      <w:pPr>
        <w:pStyle w:val="BodyText"/>
        <w:spacing w:before="1"/>
        <w:ind w:right="-31"/>
      </w:pPr>
    </w:p>
    <w:p w14:paraId="655DF20D" w14:textId="0D4BDC3D" w:rsidR="00801198" w:rsidRPr="00335E5A" w:rsidRDefault="00CA3EFD" w:rsidP="00097103">
      <w:pPr>
        <w:pStyle w:val="ListParagraph"/>
        <w:numPr>
          <w:ilvl w:val="0"/>
          <w:numId w:val="2"/>
        </w:numPr>
        <w:tabs>
          <w:tab w:val="left" w:pos="1481"/>
        </w:tabs>
        <w:ind w:right="-31"/>
        <w:jc w:val="both"/>
        <w:rPr>
          <w:sz w:val="24"/>
        </w:rPr>
      </w:pPr>
      <w:r w:rsidRPr="00335E5A">
        <w:rPr>
          <w:sz w:val="24"/>
        </w:rPr>
        <w:t>An application can be made asking for a review of the length of tenancy offered but only if it does not comply with the Council’s tenancy policy,</w:t>
      </w:r>
      <w:r w:rsidRPr="00335E5A">
        <w:rPr>
          <w:spacing w:val="-4"/>
          <w:sz w:val="24"/>
        </w:rPr>
        <w:t xml:space="preserve"> </w:t>
      </w:r>
      <w:r w:rsidRPr="00335E5A">
        <w:rPr>
          <w:sz w:val="24"/>
        </w:rPr>
        <w:t>or</w:t>
      </w:r>
    </w:p>
    <w:p w14:paraId="655DF20E" w14:textId="6D782557" w:rsidR="00801198" w:rsidRPr="00335E5A" w:rsidRDefault="00CA3EFD" w:rsidP="00097103">
      <w:pPr>
        <w:pStyle w:val="ListParagraph"/>
        <w:numPr>
          <w:ilvl w:val="0"/>
          <w:numId w:val="2"/>
        </w:numPr>
        <w:tabs>
          <w:tab w:val="left" w:pos="1481"/>
        </w:tabs>
        <w:ind w:right="-31"/>
        <w:rPr>
          <w:sz w:val="24"/>
        </w:rPr>
      </w:pPr>
      <w:r w:rsidRPr="00335E5A">
        <w:rPr>
          <w:sz w:val="24"/>
        </w:rPr>
        <w:t>An application is made for a review if, at the end of the fixed term tenancy</w:t>
      </w:r>
      <w:r w:rsidR="00F619E1" w:rsidRPr="00335E5A">
        <w:rPr>
          <w:sz w:val="24"/>
        </w:rPr>
        <w:t>,</w:t>
      </w:r>
      <w:r w:rsidRPr="00335E5A">
        <w:rPr>
          <w:sz w:val="24"/>
        </w:rPr>
        <w:t xml:space="preserve"> the Council refuses to grant a further</w:t>
      </w:r>
      <w:r w:rsidRPr="00335E5A">
        <w:rPr>
          <w:spacing w:val="-14"/>
          <w:sz w:val="24"/>
        </w:rPr>
        <w:t xml:space="preserve"> </w:t>
      </w:r>
      <w:r w:rsidR="005C7E80" w:rsidRPr="00335E5A">
        <w:rPr>
          <w:sz w:val="24"/>
        </w:rPr>
        <w:t>tenancy.</w:t>
      </w:r>
    </w:p>
    <w:p w14:paraId="655DF20F" w14:textId="77777777" w:rsidR="00801198" w:rsidRPr="00335E5A" w:rsidRDefault="00801198" w:rsidP="00097103">
      <w:pPr>
        <w:pStyle w:val="BodyText"/>
        <w:ind w:right="-31"/>
      </w:pPr>
    </w:p>
    <w:p w14:paraId="655DF210" w14:textId="3C5991FF" w:rsidR="00801198" w:rsidRPr="00335E5A" w:rsidRDefault="00CA3EFD" w:rsidP="005C7E80">
      <w:pPr>
        <w:pStyle w:val="BodyText"/>
        <w:ind w:left="720" w:right="-31"/>
        <w:jc w:val="both"/>
      </w:pPr>
      <w:r w:rsidRPr="00335E5A">
        <w:t xml:space="preserve">Full details of the review process </w:t>
      </w:r>
      <w:r w:rsidR="005C7E80" w:rsidRPr="00335E5A">
        <w:t>are</w:t>
      </w:r>
      <w:r w:rsidR="00F619E1" w:rsidRPr="00335E5A">
        <w:t xml:space="preserve"> </w:t>
      </w:r>
      <w:r w:rsidRPr="00335E5A">
        <w:t>given to tenants when they are served with a notice granting, or ending, their fixed term tenancy.</w:t>
      </w:r>
    </w:p>
    <w:p w14:paraId="655DF211" w14:textId="77777777" w:rsidR="00801198" w:rsidRPr="00335E5A" w:rsidRDefault="00801198" w:rsidP="00097103">
      <w:pPr>
        <w:pStyle w:val="BodyText"/>
        <w:ind w:left="720" w:right="-31"/>
      </w:pPr>
    </w:p>
    <w:p w14:paraId="655DF212" w14:textId="77777777" w:rsidR="00801198" w:rsidRPr="00916957" w:rsidRDefault="00CA3EFD" w:rsidP="00097103">
      <w:pPr>
        <w:pStyle w:val="Heading1"/>
        <w:numPr>
          <w:ilvl w:val="1"/>
          <w:numId w:val="13"/>
        </w:numPr>
        <w:tabs>
          <w:tab w:val="left" w:pos="1300"/>
          <w:tab w:val="left" w:pos="1301"/>
        </w:tabs>
        <w:ind w:left="1378" w:right="-31" w:hanging="669"/>
      </w:pPr>
      <w:r w:rsidRPr="00916957">
        <w:t>Monitoring</w:t>
      </w:r>
    </w:p>
    <w:p w14:paraId="655DF213" w14:textId="77777777" w:rsidR="00801198" w:rsidRPr="00916957" w:rsidRDefault="00801198" w:rsidP="00097103">
      <w:pPr>
        <w:pStyle w:val="BodyText"/>
        <w:ind w:left="720" w:right="-31"/>
        <w:rPr>
          <w:bCs/>
        </w:rPr>
      </w:pPr>
    </w:p>
    <w:p w14:paraId="2FB6D584" w14:textId="708508D2" w:rsidR="00596A5C" w:rsidRPr="00335E5A" w:rsidRDefault="00CA3EFD" w:rsidP="005C7E80">
      <w:pPr>
        <w:pStyle w:val="BodyText"/>
        <w:ind w:left="720" w:right="-31"/>
        <w:jc w:val="both"/>
      </w:pPr>
      <w:r w:rsidRPr="00335E5A">
        <w:t xml:space="preserve">The Council </w:t>
      </w:r>
      <w:r w:rsidR="00CA42F7" w:rsidRPr="00335E5A">
        <w:t xml:space="preserve">is committed </w:t>
      </w:r>
      <w:r w:rsidR="00596A5C" w:rsidRPr="00335E5A">
        <w:t xml:space="preserve">to </w:t>
      </w:r>
      <w:r w:rsidRPr="00335E5A">
        <w:t>monitor</w:t>
      </w:r>
      <w:r w:rsidR="00CA42F7" w:rsidRPr="00335E5A">
        <w:t>ing</w:t>
      </w:r>
      <w:r w:rsidRPr="00335E5A">
        <w:t xml:space="preserve"> the impact of the use of fixed term tenancies.</w:t>
      </w:r>
      <w:r w:rsidR="00FE42EE">
        <w:t xml:space="preserve"> </w:t>
      </w:r>
      <w:r w:rsidR="00CA42F7" w:rsidRPr="00335E5A">
        <w:t>In conjunction with the affected household, the Council will seek to understand:</w:t>
      </w:r>
    </w:p>
    <w:p w14:paraId="3ADDB204" w14:textId="77777777" w:rsidR="004574E3" w:rsidRPr="00335E5A" w:rsidRDefault="004574E3" w:rsidP="00097103">
      <w:pPr>
        <w:pStyle w:val="BodyText"/>
        <w:ind w:left="720" w:right="-31"/>
      </w:pPr>
    </w:p>
    <w:p w14:paraId="05875223" w14:textId="0EB7E446" w:rsidR="00596A5C" w:rsidRPr="00335E5A" w:rsidRDefault="00596A5C" w:rsidP="005C7E80">
      <w:pPr>
        <w:pStyle w:val="BodyText"/>
        <w:numPr>
          <w:ilvl w:val="0"/>
          <w:numId w:val="27"/>
        </w:numPr>
        <w:ind w:right="-31"/>
      </w:pPr>
      <w:r w:rsidRPr="00335E5A">
        <w:t xml:space="preserve">Whether the fixed term tenancy has affected </w:t>
      </w:r>
      <w:r w:rsidR="004F293C" w:rsidRPr="00335E5A">
        <w:t xml:space="preserve">commitment </w:t>
      </w:r>
      <w:r w:rsidRPr="00335E5A">
        <w:t>to the area</w:t>
      </w:r>
      <w:r w:rsidR="003A6B64" w:rsidRPr="00335E5A">
        <w:t xml:space="preserve"> </w:t>
      </w:r>
    </w:p>
    <w:p w14:paraId="655DF21A" w14:textId="6FA9CF4A" w:rsidR="00801198" w:rsidRPr="00335E5A" w:rsidRDefault="003A6B64" w:rsidP="005C7E80">
      <w:pPr>
        <w:pStyle w:val="BodyText"/>
        <w:numPr>
          <w:ilvl w:val="0"/>
          <w:numId w:val="27"/>
        </w:numPr>
        <w:ind w:right="-31"/>
      </w:pPr>
      <w:r w:rsidRPr="00335E5A">
        <w:t xml:space="preserve">The Council’s </w:t>
      </w:r>
      <w:r w:rsidR="00CA3EFD" w:rsidRPr="00335E5A">
        <w:t>ability to offer per</w:t>
      </w:r>
      <w:r w:rsidRPr="00335E5A">
        <w:t>iodic</w:t>
      </w:r>
      <w:r w:rsidR="00CA3EFD" w:rsidRPr="00335E5A">
        <w:t xml:space="preserve"> tenancies when the fixed term tenancy</w:t>
      </w:r>
      <w:r w:rsidR="00CA3EFD" w:rsidRPr="00335E5A">
        <w:rPr>
          <w:spacing w:val="-4"/>
        </w:rPr>
        <w:t xml:space="preserve"> </w:t>
      </w:r>
      <w:r w:rsidR="00CA3EFD" w:rsidRPr="00335E5A">
        <w:t>expires</w:t>
      </w:r>
      <w:r w:rsidR="005C7E80">
        <w:t>.</w:t>
      </w:r>
    </w:p>
    <w:p w14:paraId="2BE46477" w14:textId="77777777" w:rsidR="003A6B64" w:rsidRPr="00335E5A" w:rsidRDefault="003A6B64" w:rsidP="005C7E80">
      <w:pPr>
        <w:pStyle w:val="BodyText"/>
        <w:numPr>
          <w:ilvl w:val="0"/>
          <w:numId w:val="27"/>
        </w:numPr>
        <w:ind w:right="-31"/>
      </w:pPr>
      <w:r w:rsidRPr="00335E5A">
        <w:lastRenderedPageBreak/>
        <w:t>The outcome of the review and tenants’ satisfaction with process</w:t>
      </w:r>
    </w:p>
    <w:p w14:paraId="655DF21B" w14:textId="6078BF83" w:rsidR="00801198" w:rsidRPr="005C7E80" w:rsidRDefault="00CA3EFD" w:rsidP="005C7E80">
      <w:pPr>
        <w:tabs>
          <w:tab w:val="left" w:pos="1481"/>
        </w:tabs>
        <w:ind w:left="1472" w:right="-31"/>
        <w:rPr>
          <w:sz w:val="24"/>
        </w:rPr>
      </w:pPr>
      <w:r w:rsidRPr="005C7E80">
        <w:rPr>
          <w:sz w:val="24"/>
        </w:rPr>
        <w:t>Detrimental impact on groups with protected characteristics (via Equalities Impact</w:t>
      </w:r>
      <w:r w:rsidRPr="005C7E80">
        <w:rPr>
          <w:spacing w:val="-3"/>
          <w:sz w:val="24"/>
        </w:rPr>
        <w:t xml:space="preserve"> </w:t>
      </w:r>
      <w:r w:rsidRPr="005C7E80">
        <w:rPr>
          <w:sz w:val="24"/>
        </w:rPr>
        <w:t>Assessment)</w:t>
      </w:r>
    </w:p>
    <w:p w14:paraId="1357E5DA" w14:textId="444D7047" w:rsidR="00CA42F7" w:rsidRPr="00335E5A" w:rsidRDefault="00CA42F7" w:rsidP="00097103">
      <w:pPr>
        <w:tabs>
          <w:tab w:val="left" w:pos="1481"/>
        </w:tabs>
        <w:ind w:right="-31"/>
        <w:rPr>
          <w:sz w:val="24"/>
        </w:rPr>
      </w:pPr>
    </w:p>
    <w:p w14:paraId="4F928C6F" w14:textId="1694D50C" w:rsidR="004F293C" w:rsidRPr="00916957" w:rsidRDefault="00CA42F7" w:rsidP="005C7E80">
      <w:pPr>
        <w:tabs>
          <w:tab w:val="left" w:pos="1481"/>
        </w:tabs>
        <w:ind w:left="720" w:right="-31"/>
        <w:jc w:val="both"/>
        <w:rPr>
          <w:sz w:val="24"/>
        </w:rPr>
      </w:pPr>
      <w:r w:rsidRPr="00335E5A">
        <w:rPr>
          <w:sz w:val="24"/>
        </w:rPr>
        <w:t xml:space="preserve">As </w:t>
      </w:r>
      <w:r w:rsidR="00097103" w:rsidRPr="00335E5A">
        <w:rPr>
          <w:sz w:val="24"/>
        </w:rPr>
        <w:t>of</w:t>
      </w:r>
      <w:r w:rsidRPr="00335E5A">
        <w:rPr>
          <w:sz w:val="24"/>
        </w:rPr>
        <w:t xml:space="preserve"> </w:t>
      </w:r>
      <w:r w:rsidR="00097103" w:rsidRPr="00335E5A">
        <w:rPr>
          <w:sz w:val="24"/>
        </w:rPr>
        <w:t>January 2021,</w:t>
      </w:r>
      <w:r w:rsidRPr="00335E5A">
        <w:rPr>
          <w:sz w:val="24"/>
        </w:rPr>
        <w:t xml:space="preserve"> no</w:t>
      </w:r>
      <w:r w:rsidR="004F293C" w:rsidRPr="00335E5A">
        <w:rPr>
          <w:sz w:val="24"/>
        </w:rPr>
        <w:t>ne of the 73</w:t>
      </w:r>
      <w:r w:rsidRPr="00335E5A">
        <w:rPr>
          <w:sz w:val="24"/>
        </w:rPr>
        <w:t xml:space="preserve"> fixed term tenancies </w:t>
      </w:r>
      <w:r w:rsidR="004F293C" w:rsidRPr="00335E5A">
        <w:rPr>
          <w:sz w:val="24"/>
        </w:rPr>
        <w:t xml:space="preserve">issued </w:t>
      </w:r>
      <w:r w:rsidRPr="00335E5A">
        <w:rPr>
          <w:sz w:val="24"/>
        </w:rPr>
        <w:t>ha</w:t>
      </w:r>
      <w:r w:rsidR="00916957">
        <w:rPr>
          <w:sz w:val="24"/>
        </w:rPr>
        <w:t xml:space="preserve">ve </w:t>
      </w:r>
      <w:r w:rsidRPr="00916957">
        <w:rPr>
          <w:sz w:val="24"/>
        </w:rPr>
        <w:t>come to an end so the review process ha</w:t>
      </w:r>
      <w:r w:rsidR="00916957">
        <w:rPr>
          <w:sz w:val="24"/>
        </w:rPr>
        <w:t>s</w:t>
      </w:r>
      <w:r w:rsidRPr="00916957">
        <w:rPr>
          <w:sz w:val="24"/>
        </w:rPr>
        <w:t xml:space="preserve"> not been tested.</w:t>
      </w:r>
      <w:r w:rsidR="00FE42EE">
        <w:rPr>
          <w:sz w:val="24"/>
        </w:rPr>
        <w:t xml:space="preserve"> </w:t>
      </w:r>
      <w:r w:rsidR="004F293C" w:rsidRPr="00916957">
        <w:rPr>
          <w:sz w:val="24"/>
        </w:rPr>
        <w:t>By</w:t>
      </w:r>
      <w:r w:rsidRPr="00916957">
        <w:rPr>
          <w:sz w:val="24"/>
        </w:rPr>
        <w:t xml:space="preserve"> 2030, </w:t>
      </w:r>
      <w:r w:rsidR="00982B09">
        <w:rPr>
          <w:sz w:val="24"/>
        </w:rPr>
        <w:t xml:space="preserve">at least </w:t>
      </w:r>
      <w:r w:rsidR="004F293C" w:rsidRPr="00916957">
        <w:rPr>
          <w:sz w:val="24"/>
        </w:rPr>
        <w:t>19 of those tenancies will have been reviewed.</w:t>
      </w:r>
    </w:p>
    <w:p w14:paraId="7418DAE0" w14:textId="77777777" w:rsidR="004F293C" w:rsidRPr="00916957" w:rsidRDefault="004F293C" w:rsidP="005C7E80">
      <w:pPr>
        <w:tabs>
          <w:tab w:val="left" w:pos="1481"/>
        </w:tabs>
        <w:ind w:left="851" w:right="-31"/>
        <w:jc w:val="both"/>
        <w:rPr>
          <w:sz w:val="24"/>
        </w:rPr>
      </w:pPr>
    </w:p>
    <w:p w14:paraId="69D93DD0" w14:textId="5EBB10B3" w:rsidR="00CA42F7" w:rsidRPr="00916957" w:rsidRDefault="004F293C" w:rsidP="005C7E80">
      <w:pPr>
        <w:tabs>
          <w:tab w:val="left" w:pos="1481"/>
        </w:tabs>
        <w:ind w:left="720" w:right="-31"/>
        <w:jc w:val="both"/>
        <w:rPr>
          <w:sz w:val="24"/>
        </w:rPr>
      </w:pPr>
      <w:r w:rsidRPr="00335E5A">
        <w:rPr>
          <w:sz w:val="24"/>
        </w:rPr>
        <w:t>M</w:t>
      </w:r>
      <w:r w:rsidR="00CA42F7" w:rsidRPr="00335E5A">
        <w:rPr>
          <w:sz w:val="24"/>
        </w:rPr>
        <w:t>onitoring information will be shared at Senior Management Team</w:t>
      </w:r>
      <w:r w:rsidRPr="00335E5A">
        <w:rPr>
          <w:sz w:val="24"/>
        </w:rPr>
        <w:t xml:space="preserve"> in 2030 when an </w:t>
      </w:r>
      <w:r w:rsidR="00CA42F7" w:rsidRPr="00335E5A">
        <w:rPr>
          <w:sz w:val="24"/>
        </w:rPr>
        <w:t>adequate number of reviews will have taken place to give a reasonable picture of the impact and outcomes of issuing fixed term tenancies.</w:t>
      </w:r>
    </w:p>
    <w:p w14:paraId="655DF21C" w14:textId="23ECB22A" w:rsidR="00801198" w:rsidRDefault="00801198" w:rsidP="00097103">
      <w:pPr>
        <w:pStyle w:val="BodyText"/>
        <w:ind w:right="-31"/>
      </w:pPr>
    </w:p>
    <w:p w14:paraId="4BBA529D" w14:textId="66BDEB53" w:rsidR="00AE5012" w:rsidRDefault="00AE5012" w:rsidP="00097103">
      <w:pPr>
        <w:pStyle w:val="Heading1"/>
        <w:tabs>
          <w:tab w:val="left" w:pos="760"/>
          <w:tab w:val="left" w:pos="761"/>
        </w:tabs>
        <w:ind w:left="360" w:right="-31" w:firstLine="0"/>
      </w:pPr>
      <w:r>
        <w:t xml:space="preserve">7 </w:t>
      </w:r>
      <w:r w:rsidR="005C7E80">
        <w:tab/>
      </w:r>
      <w:r>
        <w:t>EQUALITIES</w:t>
      </w:r>
    </w:p>
    <w:p w14:paraId="26125E61" w14:textId="29BB8016" w:rsidR="00AE5012" w:rsidRDefault="00AE5012" w:rsidP="00097103">
      <w:pPr>
        <w:pStyle w:val="Heading1"/>
        <w:tabs>
          <w:tab w:val="left" w:pos="760"/>
          <w:tab w:val="left" w:pos="761"/>
        </w:tabs>
        <w:ind w:left="360" w:right="-31" w:firstLine="0"/>
      </w:pPr>
    </w:p>
    <w:p w14:paraId="55814CC8" w14:textId="117950DB" w:rsidR="00AE5012" w:rsidRDefault="001B1274" w:rsidP="00097103">
      <w:pPr>
        <w:pStyle w:val="BodyText"/>
        <w:ind w:left="360" w:right="-31"/>
      </w:pPr>
      <w:r>
        <w:t>An Equality Impact Assessment has been completed as part of the Allocations Policy Review.</w:t>
      </w:r>
    </w:p>
    <w:p w14:paraId="5C765410" w14:textId="77777777" w:rsidR="001B1274" w:rsidRDefault="001B1274" w:rsidP="00097103">
      <w:pPr>
        <w:pStyle w:val="BodyText"/>
        <w:ind w:right="-31"/>
      </w:pPr>
    </w:p>
    <w:p w14:paraId="5C6B75E9" w14:textId="23780571" w:rsidR="00AE5012" w:rsidRDefault="00AE5012" w:rsidP="00097103">
      <w:pPr>
        <w:pStyle w:val="Heading1"/>
        <w:tabs>
          <w:tab w:val="left" w:pos="760"/>
          <w:tab w:val="left" w:pos="761"/>
        </w:tabs>
        <w:ind w:left="360" w:right="-31" w:firstLine="0"/>
      </w:pPr>
      <w:r>
        <w:t xml:space="preserve">8 </w:t>
      </w:r>
      <w:r>
        <w:tab/>
        <w:t>CONSULTATION</w:t>
      </w:r>
    </w:p>
    <w:p w14:paraId="7FA0F1D6" w14:textId="5C6A89F7" w:rsidR="00AE5012" w:rsidRDefault="00AE5012" w:rsidP="00097103">
      <w:pPr>
        <w:pStyle w:val="Heading1"/>
        <w:tabs>
          <w:tab w:val="left" w:pos="760"/>
          <w:tab w:val="left" w:pos="761"/>
        </w:tabs>
        <w:ind w:left="0" w:right="-31" w:firstLine="0"/>
      </w:pPr>
    </w:p>
    <w:p w14:paraId="0DD0DE9A" w14:textId="63A48360" w:rsidR="000C2414" w:rsidRDefault="00AE5012" w:rsidP="00CA38CD">
      <w:pPr>
        <w:ind w:left="360" w:right="-31"/>
        <w:rPr>
          <w:sz w:val="24"/>
          <w:szCs w:val="24"/>
        </w:rPr>
      </w:pPr>
      <w:r>
        <w:t>Consultation</w:t>
      </w:r>
      <w:r w:rsidR="00763DCB">
        <w:t xml:space="preserve"> has taken place in 202</w:t>
      </w:r>
      <w:r w:rsidR="00CA38CD">
        <w:t>5</w:t>
      </w:r>
      <w:r w:rsidR="00982B09">
        <w:t>,</w:t>
      </w:r>
      <w:r w:rsidR="00763DCB">
        <w:t xml:space="preserve"> as part of a wider review of the Council</w:t>
      </w:r>
      <w:r w:rsidR="00982B09">
        <w:t>’</w:t>
      </w:r>
      <w:r w:rsidR="00763DCB">
        <w:t xml:space="preserve">s </w:t>
      </w:r>
      <w:r w:rsidR="00CA38CD">
        <w:t xml:space="preserve">Housing </w:t>
      </w:r>
      <w:r w:rsidR="00763DCB">
        <w:t>Allocation Policy.</w:t>
      </w:r>
      <w:r w:rsidR="00FE42EE">
        <w:t xml:space="preserve"> </w:t>
      </w:r>
      <w:r w:rsidR="000C2414">
        <w:br w:type="page"/>
      </w:r>
    </w:p>
    <w:p w14:paraId="76FD6938" w14:textId="624423FC" w:rsidR="000C2414" w:rsidRDefault="000C2414" w:rsidP="00097103">
      <w:pPr>
        <w:pStyle w:val="BodyText"/>
        <w:ind w:left="360" w:right="-31"/>
      </w:pPr>
    </w:p>
    <w:tbl>
      <w:tblPr>
        <w:tblStyle w:val="TableGrid"/>
        <w:tblW w:w="0" w:type="auto"/>
        <w:tblInd w:w="360" w:type="dxa"/>
        <w:tblLook w:val="04A0" w:firstRow="1" w:lastRow="0" w:firstColumn="1" w:lastColumn="0" w:noHBand="0" w:noVBand="1"/>
      </w:tblPr>
      <w:tblGrid>
        <w:gridCol w:w="2878"/>
        <w:gridCol w:w="2873"/>
        <w:gridCol w:w="2869"/>
      </w:tblGrid>
      <w:tr w:rsidR="000C2414" w:rsidRPr="000C2414" w14:paraId="0EAE4884" w14:textId="77777777" w:rsidTr="00FE42EE">
        <w:trPr>
          <w:trHeight w:val="417"/>
        </w:trPr>
        <w:tc>
          <w:tcPr>
            <w:tcW w:w="2878" w:type="dxa"/>
            <w:shd w:val="clear" w:color="auto" w:fill="D9D9D9" w:themeFill="background1" w:themeFillShade="D9"/>
            <w:vAlign w:val="center"/>
          </w:tcPr>
          <w:p w14:paraId="2D08E508" w14:textId="77777777" w:rsidR="000C2414" w:rsidRPr="000C2414" w:rsidRDefault="000C2414" w:rsidP="00097103">
            <w:pPr>
              <w:pStyle w:val="BodyText"/>
              <w:ind w:right="-31"/>
              <w:jc w:val="center"/>
              <w:rPr>
                <w:b/>
                <w:bCs/>
              </w:rPr>
            </w:pPr>
            <w:r w:rsidRPr="000C2414">
              <w:rPr>
                <w:b/>
                <w:bCs/>
              </w:rPr>
              <w:t>Amendment</w:t>
            </w:r>
          </w:p>
        </w:tc>
        <w:tc>
          <w:tcPr>
            <w:tcW w:w="2873" w:type="dxa"/>
            <w:shd w:val="clear" w:color="auto" w:fill="D9D9D9" w:themeFill="background1" w:themeFillShade="D9"/>
            <w:vAlign w:val="center"/>
          </w:tcPr>
          <w:p w14:paraId="49473DF8" w14:textId="77777777" w:rsidR="000C2414" w:rsidRPr="000C2414" w:rsidRDefault="000C2414" w:rsidP="00097103">
            <w:pPr>
              <w:pStyle w:val="BodyText"/>
              <w:ind w:right="-31"/>
              <w:jc w:val="center"/>
              <w:rPr>
                <w:b/>
                <w:bCs/>
              </w:rPr>
            </w:pPr>
            <w:r w:rsidRPr="000C2414">
              <w:rPr>
                <w:b/>
                <w:bCs/>
              </w:rPr>
              <w:t>Reason</w:t>
            </w:r>
          </w:p>
        </w:tc>
        <w:tc>
          <w:tcPr>
            <w:tcW w:w="2869" w:type="dxa"/>
            <w:shd w:val="clear" w:color="auto" w:fill="D9D9D9" w:themeFill="background1" w:themeFillShade="D9"/>
            <w:vAlign w:val="center"/>
          </w:tcPr>
          <w:p w14:paraId="4D2139AC" w14:textId="77777777" w:rsidR="000C2414" w:rsidRPr="000C2414" w:rsidRDefault="000C2414" w:rsidP="00097103">
            <w:pPr>
              <w:pStyle w:val="BodyText"/>
              <w:ind w:right="-31"/>
              <w:jc w:val="center"/>
              <w:rPr>
                <w:b/>
                <w:bCs/>
              </w:rPr>
            </w:pPr>
            <w:r w:rsidRPr="000C2414">
              <w:rPr>
                <w:b/>
                <w:bCs/>
              </w:rPr>
              <w:t>Authorised</w:t>
            </w:r>
          </w:p>
        </w:tc>
      </w:tr>
      <w:tr w:rsidR="000C2414" w14:paraId="6F6C805C" w14:textId="77777777" w:rsidTr="00FE42EE">
        <w:tc>
          <w:tcPr>
            <w:tcW w:w="2878" w:type="dxa"/>
          </w:tcPr>
          <w:p w14:paraId="6C5410CF" w14:textId="77777777" w:rsidR="000C2414" w:rsidRDefault="000C2414" w:rsidP="00097103">
            <w:pPr>
              <w:pStyle w:val="BodyText"/>
              <w:ind w:right="-31"/>
            </w:pPr>
            <w:r>
              <w:t>06.07.21</w:t>
            </w:r>
          </w:p>
          <w:p w14:paraId="4E543297" w14:textId="77777777" w:rsidR="000C2414" w:rsidRDefault="000C2414" w:rsidP="00097103">
            <w:pPr>
              <w:pStyle w:val="BodyText"/>
              <w:ind w:right="-31"/>
            </w:pPr>
            <w:r>
              <w:t>Inserted paragraphs:</w:t>
            </w:r>
          </w:p>
          <w:p w14:paraId="5298F0A2" w14:textId="55945152" w:rsidR="000C2414" w:rsidRDefault="000C2414" w:rsidP="00097103">
            <w:pPr>
              <w:pStyle w:val="BodyText"/>
              <w:numPr>
                <w:ilvl w:val="0"/>
                <w:numId w:val="19"/>
              </w:numPr>
              <w:ind w:right="-31"/>
            </w:pPr>
            <w:r>
              <w:t>5.6, and</w:t>
            </w:r>
          </w:p>
          <w:p w14:paraId="08083576" w14:textId="3DF7A810" w:rsidR="000C2414" w:rsidRDefault="000C2414" w:rsidP="00097103">
            <w:pPr>
              <w:pStyle w:val="BodyText"/>
              <w:ind w:right="-31"/>
            </w:pPr>
          </w:p>
          <w:p w14:paraId="60F7507E" w14:textId="0AD7D415" w:rsidR="000C2414" w:rsidRDefault="000C2414" w:rsidP="00097103">
            <w:pPr>
              <w:pStyle w:val="BodyText"/>
              <w:ind w:right="-31"/>
            </w:pPr>
          </w:p>
          <w:p w14:paraId="14EFE919" w14:textId="52CE11CA" w:rsidR="000C2414" w:rsidRDefault="000C2414" w:rsidP="00097103">
            <w:pPr>
              <w:pStyle w:val="BodyText"/>
              <w:ind w:right="-31"/>
            </w:pPr>
          </w:p>
          <w:p w14:paraId="468D4494" w14:textId="58E63A0E" w:rsidR="000C2414" w:rsidRDefault="000C2414" w:rsidP="00097103">
            <w:pPr>
              <w:pStyle w:val="BodyText"/>
              <w:ind w:right="-31"/>
            </w:pPr>
          </w:p>
          <w:p w14:paraId="134E1EEE" w14:textId="77777777" w:rsidR="000C2414" w:rsidRDefault="000C2414" w:rsidP="00097103">
            <w:pPr>
              <w:pStyle w:val="BodyText"/>
              <w:ind w:right="-31"/>
            </w:pPr>
          </w:p>
          <w:p w14:paraId="4F2098F0" w14:textId="74B9AD6D" w:rsidR="000C2414" w:rsidRDefault="000C2414" w:rsidP="00097103">
            <w:pPr>
              <w:pStyle w:val="BodyText"/>
              <w:numPr>
                <w:ilvl w:val="0"/>
                <w:numId w:val="19"/>
              </w:numPr>
              <w:ind w:right="-31"/>
            </w:pPr>
            <w:r>
              <w:t xml:space="preserve">5.7 </w:t>
            </w:r>
          </w:p>
        </w:tc>
        <w:tc>
          <w:tcPr>
            <w:tcW w:w="2873" w:type="dxa"/>
          </w:tcPr>
          <w:p w14:paraId="5EEE6646" w14:textId="77777777" w:rsidR="000C2414" w:rsidRDefault="000C2414" w:rsidP="00097103">
            <w:pPr>
              <w:pStyle w:val="BodyText"/>
              <w:ind w:right="-31"/>
            </w:pPr>
          </w:p>
          <w:p w14:paraId="0EDF3F4B" w14:textId="3F8EDCCA" w:rsidR="000C2414" w:rsidRDefault="00DC3E83" w:rsidP="00097103">
            <w:pPr>
              <w:pStyle w:val="BodyText"/>
              <w:ind w:right="-31"/>
            </w:pPr>
            <w:r>
              <w:t>T</w:t>
            </w:r>
            <w:r w:rsidR="000C2414">
              <w:t>o give clarity that FTTs apply to new tenants of the Council, not existing tenants who move to (become new tenants of) 4+ bed/adapted properties, and</w:t>
            </w:r>
          </w:p>
          <w:p w14:paraId="309816BD" w14:textId="5EA18483" w:rsidR="000C2414" w:rsidRDefault="000C2414" w:rsidP="00097103">
            <w:pPr>
              <w:pStyle w:val="BodyText"/>
              <w:ind w:right="-31"/>
            </w:pPr>
            <w:r>
              <w:t>to capture legislative changes brought about by the Domestic Abuse Act.</w:t>
            </w:r>
          </w:p>
        </w:tc>
        <w:tc>
          <w:tcPr>
            <w:tcW w:w="2869" w:type="dxa"/>
          </w:tcPr>
          <w:p w14:paraId="1C7A85A7" w14:textId="77777777" w:rsidR="000C2414" w:rsidRDefault="000C2414" w:rsidP="00097103">
            <w:pPr>
              <w:pStyle w:val="BodyText"/>
              <w:ind w:right="-31"/>
            </w:pPr>
          </w:p>
          <w:p w14:paraId="55AD2B8C" w14:textId="00628553" w:rsidR="000C2414" w:rsidRDefault="000C2414" w:rsidP="00097103">
            <w:pPr>
              <w:pStyle w:val="BodyText"/>
              <w:ind w:right="-31"/>
            </w:pPr>
            <w:r>
              <w:t>Interim AD, Housing informed and briefing note for Cabinet Member for Housing,</w:t>
            </w:r>
          </w:p>
        </w:tc>
      </w:tr>
      <w:tr w:rsidR="000C2414" w14:paraId="20C06017" w14:textId="77777777" w:rsidTr="00FE42EE">
        <w:tc>
          <w:tcPr>
            <w:tcW w:w="2878" w:type="dxa"/>
          </w:tcPr>
          <w:p w14:paraId="2425E33A" w14:textId="77777777" w:rsidR="000C2414" w:rsidRDefault="006D66E9" w:rsidP="00097103">
            <w:pPr>
              <w:pStyle w:val="BodyText"/>
              <w:ind w:right="-31"/>
            </w:pPr>
            <w:r>
              <w:t>17.12.2024</w:t>
            </w:r>
          </w:p>
          <w:p w14:paraId="324E2D1E" w14:textId="0629AF72" w:rsidR="006D66E9" w:rsidRDefault="006D66E9" w:rsidP="00097103">
            <w:pPr>
              <w:pStyle w:val="BodyText"/>
              <w:ind w:right="-31"/>
            </w:pPr>
            <w:r>
              <w:t xml:space="preserve">Inserted paragraphs or alterations to: </w:t>
            </w:r>
            <w:r w:rsidR="00DC3E83">
              <w:br/>
            </w:r>
          </w:p>
          <w:p w14:paraId="14547563" w14:textId="44D4B814" w:rsidR="00DC3E83" w:rsidRDefault="00DC3E83" w:rsidP="00097103">
            <w:pPr>
              <w:pStyle w:val="BodyText"/>
              <w:numPr>
                <w:ilvl w:val="0"/>
                <w:numId w:val="19"/>
              </w:numPr>
              <w:ind w:right="-31"/>
            </w:pPr>
            <w:r>
              <w:t>2</w:t>
            </w:r>
          </w:p>
          <w:p w14:paraId="303C33E5" w14:textId="77777777" w:rsidR="00DC3E83" w:rsidRDefault="00DC3E83" w:rsidP="00097103">
            <w:pPr>
              <w:pStyle w:val="BodyText"/>
              <w:numPr>
                <w:ilvl w:val="0"/>
                <w:numId w:val="19"/>
              </w:numPr>
              <w:ind w:right="-31"/>
            </w:pPr>
            <w:r>
              <w:t>3.2</w:t>
            </w:r>
          </w:p>
          <w:p w14:paraId="1E4DC7A0" w14:textId="77777777" w:rsidR="00DC3E83" w:rsidRDefault="00DC3E83" w:rsidP="00097103">
            <w:pPr>
              <w:pStyle w:val="BodyText"/>
              <w:numPr>
                <w:ilvl w:val="0"/>
                <w:numId w:val="19"/>
              </w:numPr>
              <w:ind w:right="-31"/>
            </w:pPr>
            <w:r>
              <w:t>4</w:t>
            </w:r>
          </w:p>
          <w:p w14:paraId="4A3C2012" w14:textId="1C1001F1" w:rsidR="006D66E9" w:rsidRDefault="006D66E9" w:rsidP="00097103">
            <w:pPr>
              <w:pStyle w:val="BodyText"/>
              <w:numPr>
                <w:ilvl w:val="0"/>
                <w:numId w:val="19"/>
              </w:numPr>
              <w:ind w:right="-31"/>
            </w:pPr>
            <w:r>
              <w:t>5.</w:t>
            </w:r>
            <w:r w:rsidR="00DC3E83">
              <w:t>1</w:t>
            </w:r>
          </w:p>
          <w:p w14:paraId="74AA839C" w14:textId="77777777" w:rsidR="00DC3E83" w:rsidRDefault="00FA5764" w:rsidP="00097103">
            <w:pPr>
              <w:pStyle w:val="BodyText"/>
              <w:numPr>
                <w:ilvl w:val="0"/>
                <w:numId w:val="19"/>
              </w:numPr>
              <w:ind w:right="-31"/>
            </w:pPr>
            <w:r>
              <w:t>5.2</w:t>
            </w:r>
          </w:p>
          <w:p w14:paraId="670C1312" w14:textId="77777777" w:rsidR="00FA5764" w:rsidRDefault="00FA5764" w:rsidP="00097103">
            <w:pPr>
              <w:pStyle w:val="BodyText"/>
              <w:numPr>
                <w:ilvl w:val="0"/>
                <w:numId w:val="19"/>
              </w:numPr>
              <w:ind w:right="-31"/>
            </w:pPr>
            <w:r>
              <w:t>5.3</w:t>
            </w:r>
          </w:p>
          <w:p w14:paraId="4D4A1163" w14:textId="77777777" w:rsidR="00FA5764" w:rsidRDefault="00FA5764" w:rsidP="00097103">
            <w:pPr>
              <w:pStyle w:val="BodyText"/>
              <w:numPr>
                <w:ilvl w:val="0"/>
                <w:numId w:val="19"/>
              </w:numPr>
              <w:ind w:right="-31"/>
            </w:pPr>
            <w:r>
              <w:t>5.4</w:t>
            </w:r>
          </w:p>
          <w:p w14:paraId="324E348F" w14:textId="77777777" w:rsidR="00FA5764" w:rsidRDefault="00FA5764" w:rsidP="00097103">
            <w:pPr>
              <w:pStyle w:val="BodyText"/>
              <w:numPr>
                <w:ilvl w:val="0"/>
                <w:numId w:val="19"/>
              </w:numPr>
              <w:ind w:right="-31"/>
            </w:pPr>
            <w:r>
              <w:t>5.5</w:t>
            </w:r>
          </w:p>
          <w:p w14:paraId="17FE0BC7" w14:textId="77777777" w:rsidR="00FA5764" w:rsidRDefault="00FA5764" w:rsidP="00097103">
            <w:pPr>
              <w:pStyle w:val="BodyText"/>
              <w:numPr>
                <w:ilvl w:val="0"/>
                <w:numId w:val="19"/>
              </w:numPr>
              <w:ind w:right="-31"/>
            </w:pPr>
            <w:r>
              <w:t>5.6</w:t>
            </w:r>
          </w:p>
          <w:p w14:paraId="19C0E751" w14:textId="77777777" w:rsidR="00FA5764" w:rsidRDefault="00FA5764" w:rsidP="00097103">
            <w:pPr>
              <w:pStyle w:val="BodyText"/>
              <w:numPr>
                <w:ilvl w:val="0"/>
                <w:numId w:val="19"/>
              </w:numPr>
              <w:ind w:right="-31"/>
            </w:pPr>
            <w:r>
              <w:t>5.7</w:t>
            </w:r>
          </w:p>
          <w:p w14:paraId="43AFCADA" w14:textId="77777777" w:rsidR="00FA5764" w:rsidRDefault="00FA5764" w:rsidP="00097103">
            <w:pPr>
              <w:pStyle w:val="BodyText"/>
              <w:numPr>
                <w:ilvl w:val="0"/>
                <w:numId w:val="19"/>
              </w:numPr>
              <w:ind w:right="-31"/>
            </w:pPr>
            <w:r>
              <w:t>5.8</w:t>
            </w:r>
          </w:p>
          <w:p w14:paraId="2E59C4A2" w14:textId="77777777" w:rsidR="00FA5764" w:rsidRDefault="00FA5764" w:rsidP="00097103">
            <w:pPr>
              <w:pStyle w:val="BodyText"/>
              <w:numPr>
                <w:ilvl w:val="0"/>
                <w:numId w:val="19"/>
              </w:numPr>
              <w:ind w:right="-31"/>
            </w:pPr>
            <w:r>
              <w:t>5.9</w:t>
            </w:r>
          </w:p>
          <w:p w14:paraId="308535D8" w14:textId="0BE08AA8" w:rsidR="00FA5764" w:rsidRDefault="00FA5764" w:rsidP="00097103">
            <w:pPr>
              <w:pStyle w:val="BodyText"/>
              <w:numPr>
                <w:ilvl w:val="0"/>
                <w:numId w:val="19"/>
              </w:numPr>
              <w:ind w:right="-31"/>
            </w:pPr>
            <w:r>
              <w:t>5.10</w:t>
            </w:r>
          </w:p>
        </w:tc>
        <w:tc>
          <w:tcPr>
            <w:tcW w:w="2873" w:type="dxa"/>
          </w:tcPr>
          <w:p w14:paraId="27776B69" w14:textId="45E1A0C2" w:rsidR="00DC3E83" w:rsidRDefault="00DC3E83" w:rsidP="00097103">
            <w:pPr>
              <w:pStyle w:val="BodyText"/>
              <w:ind w:right="-31"/>
            </w:pPr>
            <w:r w:rsidRPr="00DC3E83">
              <w:t>We have refreshed several elements of the policy to ensure that it aligns with the latest legislation, reflects the local context, and incorporates the most current data, all while the policy review process was already underway.</w:t>
            </w:r>
          </w:p>
          <w:p w14:paraId="3B2EDA72" w14:textId="77777777" w:rsidR="00DC3E83" w:rsidRDefault="00DC3E83" w:rsidP="00097103">
            <w:pPr>
              <w:pStyle w:val="BodyText"/>
              <w:ind w:right="-31"/>
            </w:pPr>
          </w:p>
          <w:p w14:paraId="016F7305" w14:textId="0B9EF4C1" w:rsidR="00DC3E83" w:rsidRDefault="00DC3E83" w:rsidP="00097103">
            <w:pPr>
              <w:pStyle w:val="BodyText"/>
              <w:ind w:right="-31"/>
            </w:pPr>
            <w:r>
              <w:t>Additionally</w:t>
            </w:r>
            <w:r w:rsidRPr="00DC3E83">
              <w:t>, new criteria for granting fixed-term tenancies have been introduced to align with the review of the Allocations Policy.</w:t>
            </w:r>
            <w:r>
              <w:t xml:space="preserve"> </w:t>
            </w:r>
          </w:p>
        </w:tc>
        <w:tc>
          <w:tcPr>
            <w:tcW w:w="2869" w:type="dxa"/>
          </w:tcPr>
          <w:p w14:paraId="2B9C283C" w14:textId="77777777" w:rsidR="000C2414" w:rsidRDefault="000C2414" w:rsidP="00097103">
            <w:pPr>
              <w:pStyle w:val="BodyText"/>
              <w:ind w:right="-31"/>
            </w:pPr>
          </w:p>
        </w:tc>
      </w:tr>
    </w:tbl>
    <w:p w14:paraId="5E6818F1" w14:textId="5A91C232" w:rsidR="000C2414" w:rsidRDefault="000C2414" w:rsidP="00097103">
      <w:pPr>
        <w:pStyle w:val="BodyText"/>
        <w:ind w:left="360" w:right="-31"/>
      </w:pPr>
    </w:p>
    <w:p w14:paraId="10C7563B" w14:textId="77777777" w:rsidR="006D66E9" w:rsidRDefault="006D66E9" w:rsidP="00097103">
      <w:pPr>
        <w:pStyle w:val="BodyText"/>
        <w:ind w:left="360" w:right="-31"/>
      </w:pPr>
    </w:p>
    <w:p w14:paraId="24D3E08B" w14:textId="77777777" w:rsidR="000C2414" w:rsidRPr="00AC5278" w:rsidRDefault="000C2414" w:rsidP="00097103">
      <w:pPr>
        <w:pStyle w:val="BodyText"/>
        <w:ind w:left="360" w:right="-31"/>
      </w:pPr>
    </w:p>
    <w:sectPr w:rsidR="000C2414" w:rsidRPr="00AC5278" w:rsidSect="00FE42EE">
      <w:pgSz w:w="11910" w:h="16840"/>
      <w:pgMar w:top="1440" w:right="1080" w:bottom="1440" w:left="1080" w:header="0" w:footer="6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431C7" w14:textId="77777777" w:rsidR="00407A6F" w:rsidRDefault="00407A6F">
      <w:r>
        <w:separator/>
      </w:r>
    </w:p>
  </w:endnote>
  <w:endnote w:type="continuationSeparator" w:id="0">
    <w:p w14:paraId="441E6391" w14:textId="77777777" w:rsidR="00407A6F" w:rsidRDefault="00407A6F">
      <w:r>
        <w:continuationSeparator/>
      </w:r>
    </w:p>
  </w:endnote>
  <w:endnote w:type="continuationNotice" w:id="1">
    <w:p w14:paraId="60281DCC" w14:textId="77777777" w:rsidR="00407A6F" w:rsidRDefault="00407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CA60" w14:textId="77777777" w:rsidR="00522745" w:rsidRDefault="00522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F228" w14:textId="6BBDCC93" w:rsidR="00801198" w:rsidRDefault="00AD57F5">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655DF229" wp14:editId="38ECB3E3">
              <wp:simplePos x="0" y="0"/>
              <wp:positionH relativeFrom="page">
                <wp:posOffset>6315710</wp:posOffset>
              </wp:positionH>
              <wp:positionV relativeFrom="page">
                <wp:posOffset>10073640</wp:posOffset>
              </wp:positionV>
              <wp:extent cx="128905" cy="182245"/>
              <wp:effectExtent l="635" t="0" r="381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DF22A" w14:textId="77777777" w:rsidR="00801198" w:rsidRDefault="00CA3EFD">
                          <w:pPr>
                            <w:spacing w:before="13"/>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655DF229" id="_x0000_t202" coordsize="21600,21600" o:spt="202" path="m,l,21600r21600,l21600,xe">
              <v:stroke joinstyle="miter"/>
              <v:path gradientshapeok="t" o:connecttype="rect"/>
            </v:shapetype>
            <v:shape id="Text Box 1" o:spid="_x0000_s1026" type="#_x0000_t202" style="position:absolute;margin-left:497.3pt;margin-top:793.2pt;width:10.15pt;height:1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" filled="f" stroked="f">
              <v:textbox inset="0,0,0,0">
                <w:txbxContent>
                  <w:p w14:paraId="655DF22A" w14:textId="77777777" w:rsidR="00801198" w:rsidRDefault="00CA3EFD">
                    <w:pPr>
                      <w:spacing w:before="13"/>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0FAF" w14:textId="77777777" w:rsidR="00522745" w:rsidRDefault="00522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E8F49" w14:textId="77777777" w:rsidR="00407A6F" w:rsidRDefault="00407A6F">
      <w:r>
        <w:separator/>
      </w:r>
    </w:p>
  </w:footnote>
  <w:footnote w:type="continuationSeparator" w:id="0">
    <w:p w14:paraId="0168ABC9" w14:textId="77777777" w:rsidR="00407A6F" w:rsidRDefault="00407A6F">
      <w:r>
        <w:continuationSeparator/>
      </w:r>
    </w:p>
  </w:footnote>
  <w:footnote w:type="continuationNotice" w:id="1">
    <w:p w14:paraId="4A16B485" w14:textId="77777777" w:rsidR="00407A6F" w:rsidRDefault="00407A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BD42" w14:textId="77777777" w:rsidR="00522745" w:rsidRDefault="00522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207590"/>
      <w:docPartObj>
        <w:docPartGallery w:val="Watermarks"/>
        <w:docPartUnique/>
      </w:docPartObj>
    </w:sdtPr>
    <w:sdtEndPr/>
    <w:sdtContent>
      <w:p w14:paraId="4AF9CC2B" w14:textId="096D9DDE" w:rsidR="00522745" w:rsidRDefault="00176B9E">
        <w:pPr>
          <w:pStyle w:val="Header"/>
        </w:pPr>
        <w:r>
          <w:rPr>
            <w:noProof/>
          </w:rPr>
          <w:pict w14:anchorId="51237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2299" w14:textId="77777777" w:rsidR="00522745" w:rsidRDefault="00522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C76"/>
    <w:multiLevelType w:val="hybridMultilevel"/>
    <w:tmpl w:val="29F61E0C"/>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 w15:restartNumberingAfterBreak="0">
    <w:nsid w:val="09A8204E"/>
    <w:multiLevelType w:val="multilevel"/>
    <w:tmpl w:val="9DDC6DFA"/>
    <w:lvl w:ilvl="0">
      <w:start w:val="3"/>
      <w:numFmt w:val="decimal"/>
      <w:lvlText w:val="%1"/>
      <w:lvlJc w:val="left"/>
      <w:pPr>
        <w:ind w:left="1715" w:hanging="540"/>
        <w:jc w:val="right"/>
      </w:pPr>
      <w:rPr>
        <w:rFonts w:hint="default"/>
        <w:lang w:val="en-US" w:eastAsia="en-US" w:bidi="en-US"/>
      </w:rPr>
    </w:lvl>
    <w:lvl w:ilvl="1">
      <w:start w:val="1"/>
      <w:numFmt w:val="decimal"/>
      <w:lvlText w:val="%1.%2"/>
      <w:lvlJc w:val="left"/>
      <w:pPr>
        <w:ind w:left="1533" w:hanging="540"/>
      </w:pPr>
      <w:rPr>
        <w:rFonts w:ascii="Arial" w:eastAsia="Arial" w:hAnsi="Arial" w:cs="Arial" w:hint="default"/>
        <w:b/>
        <w:bCs/>
        <w:w w:val="99"/>
        <w:sz w:val="24"/>
        <w:szCs w:val="24"/>
        <w:lang w:val="en-US" w:eastAsia="en-US" w:bidi="en-US"/>
      </w:rPr>
    </w:lvl>
    <w:lvl w:ilvl="2">
      <w:start w:val="1"/>
      <w:numFmt w:val="bullet"/>
      <w:lvlText w:val=""/>
      <w:lvlJc w:val="left"/>
      <w:pPr>
        <w:ind w:left="1895" w:hanging="360"/>
      </w:pPr>
      <w:rPr>
        <w:rFonts w:ascii="Symbol" w:hAnsi="Symbol" w:hint="default"/>
        <w:w w:val="100"/>
        <w:lang w:val="en-US" w:eastAsia="en-US" w:bidi="en-US"/>
      </w:rPr>
    </w:lvl>
    <w:lvl w:ilvl="3">
      <w:numFmt w:val="bullet"/>
      <w:lvlText w:val="o"/>
      <w:lvlJc w:val="left"/>
      <w:pPr>
        <w:ind w:left="2435" w:hanging="360"/>
      </w:pPr>
      <w:rPr>
        <w:rFonts w:hint="default"/>
        <w:w w:val="100"/>
        <w:lang w:val="en-US" w:eastAsia="en-US" w:bidi="en-US"/>
      </w:rPr>
    </w:lvl>
    <w:lvl w:ilvl="4">
      <w:numFmt w:val="bullet"/>
      <w:lvlText w:val="•"/>
      <w:lvlJc w:val="left"/>
      <w:pPr>
        <w:ind w:left="4176" w:hanging="360"/>
      </w:pPr>
      <w:rPr>
        <w:rFonts w:hint="default"/>
        <w:lang w:val="en-US" w:eastAsia="en-US" w:bidi="en-US"/>
      </w:rPr>
    </w:lvl>
    <w:lvl w:ilvl="5">
      <w:numFmt w:val="bullet"/>
      <w:lvlText w:val="•"/>
      <w:lvlJc w:val="left"/>
      <w:pPr>
        <w:ind w:left="5047" w:hanging="360"/>
      </w:pPr>
      <w:rPr>
        <w:rFonts w:hint="default"/>
        <w:lang w:val="en-US" w:eastAsia="en-US" w:bidi="en-US"/>
      </w:rPr>
    </w:lvl>
    <w:lvl w:ilvl="6">
      <w:numFmt w:val="bullet"/>
      <w:lvlText w:val="•"/>
      <w:lvlJc w:val="left"/>
      <w:pPr>
        <w:ind w:left="5918" w:hanging="360"/>
      </w:pPr>
      <w:rPr>
        <w:rFonts w:hint="default"/>
        <w:lang w:val="en-US" w:eastAsia="en-US" w:bidi="en-US"/>
      </w:rPr>
    </w:lvl>
    <w:lvl w:ilvl="7">
      <w:numFmt w:val="bullet"/>
      <w:lvlText w:val="•"/>
      <w:lvlJc w:val="left"/>
      <w:pPr>
        <w:ind w:left="6789" w:hanging="360"/>
      </w:pPr>
      <w:rPr>
        <w:rFonts w:hint="default"/>
        <w:lang w:val="en-US" w:eastAsia="en-US" w:bidi="en-US"/>
      </w:rPr>
    </w:lvl>
    <w:lvl w:ilvl="8">
      <w:numFmt w:val="bullet"/>
      <w:lvlText w:val="•"/>
      <w:lvlJc w:val="left"/>
      <w:pPr>
        <w:ind w:left="7659" w:hanging="360"/>
      </w:pPr>
      <w:rPr>
        <w:rFonts w:hint="default"/>
        <w:lang w:val="en-US" w:eastAsia="en-US" w:bidi="en-US"/>
      </w:rPr>
    </w:lvl>
  </w:abstractNum>
  <w:abstractNum w:abstractNumId="2" w15:restartNumberingAfterBreak="0">
    <w:nsid w:val="0CEB34B3"/>
    <w:multiLevelType w:val="hybridMultilevel"/>
    <w:tmpl w:val="0D62CA86"/>
    <w:lvl w:ilvl="0" w:tplc="EBC48152">
      <w:start w:val="1"/>
      <w:numFmt w:val="lowerLetter"/>
      <w:lvlText w:val="%1)"/>
      <w:lvlJc w:val="left"/>
      <w:pPr>
        <w:ind w:left="1480" w:hanging="360"/>
      </w:pPr>
      <w:rPr>
        <w:rFonts w:ascii="Arial" w:eastAsia="Arial" w:hAnsi="Arial" w:cs="Arial" w:hint="default"/>
        <w:w w:val="99"/>
        <w:sz w:val="24"/>
        <w:szCs w:val="24"/>
        <w:lang w:val="en-US" w:eastAsia="en-US" w:bidi="en-US"/>
      </w:rPr>
    </w:lvl>
    <w:lvl w:ilvl="1" w:tplc="9D6E29FA">
      <w:numFmt w:val="bullet"/>
      <w:lvlText w:val="•"/>
      <w:lvlJc w:val="left"/>
      <w:pPr>
        <w:ind w:left="2230" w:hanging="360"/>
      </w:pPr>
      <w:rPr>
        <w:rFonts w:hint="default"/>
        <w:lang w:val="en-US" w:eastAsia="en-US" w:bidi="en-US"/>
      </w:rPr>
    </w:lvl>
    <w:lvl w:ilvl="2" w:tplc="C55A9A20">
      <w:numFmt w:val="bullet"/>
      <w:lvlText w:val="•"/>
      <w:lvlJc w:val="left"/>
      <w:pPr>
        <w:ind w:left="2981" w:hanging="360"/>
      </w:pPr>
      <w:rPr>
        <w:rFonts w:hint="default"/>
        <w:lang w:val="en-US" w:eastAsia="en-US" w:bidi="en-US"/>
      </w:rPr>
    </w:lvl>
    <w:lvl w:ilvl="3" w:tplc="4F4C80DA">
      <w:numFmt w:val="bullet"/>
      <w:lvlText w:val="•"/>
      <w:lvlJc w:val="left"/>
      <w:pPr>
        <w:ind w:left="3731" w:hanging="360"/>
      </w:pPr>
      <w:rPr>
        <w:rFonts w:hint="default"/>
        <w:lang w:val="en-US" w:eastAsia="en-US" w:bidi="en-US"/>
      </w:rPr>
    </w:lvl>
    <w:lvl w:ilvl="4" w:tplc="8B64245C">
      <w:numFmt w:val="bullet"/>
      <w:lvlText w:val="•"/>
      <w:lvlJc w:val="left"/>
      <w:pPr>
        <w:ind w:left="4482" w:hanging="360"/>
      </w:pPr>
      <w:rPr>
        <w:rFonts w:hint="default"/>
        <w:lang w:val="en-US" w:eastAsia="en-US" w:bidi="en-US"/>
      </w:rPr>
    </w:lvl>
    <w:lvl w:ilvl="5" w:tplc="42AE5B16">
      <w:numFmt w:val="bullet"/>
      <w:lvlText w:val="•"/>
      <w:lvlJc w:val="left"/>
      <w:pPr>
        <w:ind w:left="5233" w:hanging="360"/>
      </w:pPr>
      <w:rPr>
        <w:rFonts w:hint="default"/>
        <w:lang w:val="en-US" w:eastAsia="en-US" w:bidi="en-US"/>
      </w:rPr>
    </w:lvl>
    <w:lvl w:ilvl="6" w:tplc="DB864218">
      <w:numFmt w:val="bullet"/>
      <w:lvlText w:val="•"/>
      <w:lvlJc w:val="left"/>
      <w:pPr>
        <w:ind w:left="5983" w:hanging="360"/>
      </w:pPr>
      <w:rPr>
        <w:rFonts w:hint="default"/>
        <w:lang w:val="en-US" w:eastAsia="en-US" w:bidi="en-US"/>
      </w:rPr>
    </w:lvl>
    <w:lvl w:ilvl="7" w:tplc="EC040E7A">
      <w:numFmt w:val="bullet"/>
      <w:lvlText w:val="•"/>
      <w:lvlJc w:val="left"/>
      <w:pPr>
        <w:ind w:left="6734" w:hanging="360"/>
      </w:pPr>
      <w:rPr>
        <w:rFonts w:hint="default"/>
        <w:lang w:val="en-US" w:eastAsia="en-US" w:bidi="en-US"/>
      </w:rPr>
    </w:lvl>
    <w:lvl w:ilvl="8" w:tplc="BF48D9C2">
      <w:numFmt w:val="bullet"/>
      <w:lvlText w:val="•"/>
      <w:lvlJc w:val="left"/>
      <w:pPr>
        <w:ind w:left="7485" w:hanging="360"/>
      </w:pPr>
      <w:rPr>
        <w:rFonts w:hint="default"/>
        <w:lang w:val="en-US" w:eastAsia="en-US" w:bidi="en-US"/>
      </w:rPr>
    </w:lvl>
  </w:abstractNum>
  <w:abstractNum w:abstractNumId="3" w15:restartNumberingAfterBreak="0">
    <w:nsid w:val="0F2530E6"/>
    <w:multiLevelType w:val="hybridMultilevel"/>
    <w:tmpl w:val="6C00A14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14292A3B"/>
    <w:multiLevelType w:val="hybridMultilevel"/>
    <w:tmpl w:val="8E749AC0"/>
    <w:lvl w:ilvl="0" w:tplc="0809000F">
      <w:start w:val="1"/>
      <w:numFmt w:val="decimal"/>
      <w:lvlText w:val="%1."/>
      <w:lvlJc w:val="lef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5" w15:restartNumberingAfterBreak="0">
    <w:nsid w:val="18B4733C"/>
    <w:multiLevelType w:val="hybridMultilevel"/>
    <w:tmpl w:val="57D297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6D4067"/>
    <w:multiLevelType w:val="hybridMultilevel"/>
    <w:tmpl w:val="E088739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1D4A5D2A"/>
    <w:multiLevelType w:val="hybridMultilevel"/>
    <w:tmpl w:val="3EA486DC"/>
    <w:lvl w:ilvl="0" w:tplc="D848BD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F190D1A"/>
    <w:multiLevelType w:val="hybridMultilevel"/>
    <w:tmpl w:val="451A6DE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306407"/>
    <w:multiLevelType w:val="multilevel"/>
    <w:tmpl w:val="62D05ECA"/>
    <w:lvl w:ilvl="0">
      <w:start w:val="6"/>
      <w:numFmt w:val="decimal"/>
      <w:lvlText w:val="%1"/>
      <w:lvlJc w:val="left"/>
      <w:pPr>
        <w:ind w:left="360" w:hanging="360"/>
      </w:pPr>
      <w:rPr>
        <w:rFonts w:hint="default"/>
      </w:rPr>
    </w:lvl>
    <w:lvl w:ilvl="1">
      <w:start w:val="1"/>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7880" w:hanging="1800"/>
      </w:pPr>
      <w:rPr>
        <w:rFonts w:hint="default"/>
      </w:rPr>
    </w:lvl>
  </w:abstractNum>
  <w:abstractNum w:abstractNumId="10" w15:restartNumberingAfterBreak="0">
    <w:nsid w:val="3A645E47"/>
    <w:multiLevelType w:val="hybridMultilevel"/>
    <w:tmpl w:val="7A404BD4"/>
    <w:lvl w:ilvl="0" w:tplc="AEB04950">
      <w:start w:val="1"/>
      <w:numFmt w:val="lowerLetter"/>
      <w:lvlText w:val="%1)"/>
      <w:lvlJc w:val="left"/>
      <w:pPr>
        <w:ind w:left="1480" w:hanging="360"/>
      </w:pPr>
      <w:rPr>
        <w:rFonts w:ascii="Arial" w:eastAsia="Arial" w:hAnsi="Arial" w:cs="Arial" w:hint="default"/>
        <w:w w:val="99"/>
        <w:sz w:val="24"/>
        <w:szCs w:val="24"/>
        <w:lang w:val="en-US" w:eastAsia="en-US" w:bidi="en-US"/>
      </w:rPr>
    </w:lvl>
    <w:lvl w:ilvl="1" w:tplc="07A83A0E">
      <w:numFmt w:val="bullet"/>
      <w:lvlText w:val="•"/>
      <w:lvlJc w:val="left"/>
      <w:pPr>
        <w:ind w:left="2230" w:hanging="360"/>
      </w:pPr>
      <w:rPr>
        <w:rFonts w:hint="default"/>
        <w:lang w:val="en-US" w:eastAsia="en-US" w:bidi="en-US"/>
      </w:rPr>
    </w:lvl>
    <w:lvl w:ilvl="2" w:tplc="B0040212">
      <w:numFmt w:val="bullet"/>
      <w:lvlText w:val="•"/>
      <w:lvlJc w:val="left"/>
      <w:pPr>
        <w:ind w:left="2981" w:hanging="360"/>
      </w:pPr>
      <w:rPr>
        <w:rFonts w:hint="default"/>
        <w:lang w:val="en-US" w:eastAsia="en-US" w:bidi="en-US"/>
      </w:rPr>
    </w:lvl>
    <w:lvl w:ilvl="3" w:tplc="D83E5B0A">
      <w:numFmt w:val="bullet"/>
      <w:lvlText w:val="•"/>
      <w:lvlJc w:val="left"/>
      <w:pPr>
        <w:ind w:left="3731" w:hanging="360"/>
      </w:pPr>
      <w:rPr>
        <w:rFonts w:hint="default"/>
        <w:lang w:val="en-US" w:eastAsia="en-US" w:bidi="en-US"/>
      </w:rPr>
    </w:lvl>
    <w:lvl w:ilvl="4" w:tplc="0F28C418">
      <w:numFmt w:val="bullet"/>
      <w:lvlText w:val="•"/>
      <w:lvlJc w:val="left"/>
      <w:pPr>
        <w:ind w:left="4482" w:hanging="360"/>
      </w:pPr>
      <w:rPr>
        <w:rFonts w:hint="default"/>
        <w:lang w:val="en-US" w:eastAsia="en-US" w:bidi="en-US"/>
      </w:rPr>
    </w:lvl>
    <w:lvl w:ilvl="5" w:tplc="5A5E221C">
      <w:numFmt w:val="bullet"/>
      <w:lvlText w:val="•"/>
      <w:lvlJc w:val="left"/>
      <w:pPr>
        <w:ind w:left="5233" w:hanging="360"/>
      </w:pPr>
      <w:rPr>
        <w:rFonts w:hint="default"/>
        <w:lang w:val="en-US" w:eastAsia="en-US" w:bidi="en-US"/>
      </w:rPr>
    </w:lvl>
    <w:lvl w:ilvl="6" w:tplc="130644B4">
      <w:numFmt w:val="bullet"/>
      <w:lvlText w:val="•"/>
      <w:lvlJc w:val="left"/>
      <w:pPr>
        <w:ind w:left="5983" w:hanging="360"/>
      </w:pPr>
      <w:rPr>
        <w:rFonts w:hint="default"/>
        <w:lang w:val="en-US" w:eastAsia="en-US" w:bidi="en-US"/>
      </w:rPr>
    </w:lvl>
    <w:lvl w:ilvl="7" w:tplc="1D4C6BCC">
      <w:numFmt w:val="bullet"/>
      <w:lvlText w:val="•"/>
      <w:lvlJc w:val="left"/>
      <w:pPr>
        <w:ind w:left="6734" w:hanging="360"/>
      </w:pPr>
      <w:rPr>
        <w:rFonts w:hint="default"/>
        <w:lang w:val="en-US" w:eastAsia="en-US" w:bidi="en-US"/>
      </w:rPr>
    </w:lvl>
    <w:lvl w:ilvl="8" w:tplc="D3A647A4">
      <w:numFmt w:val="bullet"/>
      <w:lvlText w:val="•"/>
      <w:lvlJc w:val="left"/>
      <w:pPr>
        <w:ind w:left="7485" w:hanging="360"/>
      </w:pPr>
      <w:rPr>
        <w:rFonts w:hint="default"/>
        <w:lang w:val="en-US" w:eastAsia="en-US" w:bidi="en-US"/>
      </w:rPr>
    </w:lvl>
  </w:abstractNum>
  <w:abstractNum w:abstractNumId="11" w15:restartNumberingAfterBreak="0">
    <w:nsid w:val="3F9922AE"/>
    <w:multiLevelType w:val="multilevel"/>
    <w:tmpl w:val="C218BCFA"/>
    <w:lvl w:ilvl="0">
      <w:start w:val="3"/>
      <w:numFmt w:val="decimal"/>
      <w:lvlText w:val="%1"/>
      <w:lvlJc w:val="left"/>
      <w:pPr>
        <w:ind w:left="1715" w:hanging="540"/>
        <w:jc w:val="right"/>
      </w:pPr>
      <w:rPr>
        <w:rFonts w:hint="default"/>
        <w:lang w:val="en-US" w:eastAsia="en-US" w:bidi="en-US"/>
      </w:rPr>
    </w:lvl>
    <w:lvl w:ilvl="1">
      <w:start w:val="1"/>
      <w:numFmt w:val="decimal"/>
      <w:lvlText w:val="%1.%2"/>
      <w:lvlJc w:val="left"/>
      <w:pPr>
        <w:ind w:left="1533" w:hanging="540"/>
      </w:pPr>
      <w:rPr>
        <w:rFonts w:ascii="Arial" w:eastAsia="Arial" w:hAnsi="Arial" w:cs="Arial" w:hint="default"/>
        <w:b/>
        <w:bCs/>
        <w:w w:val="99"/>
        <w:sz w:val="24"/>
        <w:szCs w:val="24"/>
        <w:lang w:val="en-US" w:eastAsia="en-US" w:bidi="en-US"/>
      </w:rPr>
    </w:lvl>
    <w:lvl w:ilvl="2">
      <w:start w:val="1"/>
      <w:numFmt w:val="bullet"/>
      <w:lvlText w:val="o"/>
      <w:lvlJc w:val="left"/>
      <w:pPr>
        <w:ind w:left="1895" w:hanging="360"/>
      </w:pPr>
      <w:rPr>
        <w:rFonts w:ascii="Courier New" w:hAnsi="Courier New" w:cs="Courier New" w:hint="default"/>
      </w:rPr>
    </w:lvl>
    <w:lvl w:ilvl="3">
      <w:numFmt w:val="bullet"/>
      <w:lvlText w:val="o"/>
      <w:lvlJc w:val="left"/>
      <w:pPr>
        <w:ind w:left="2435" w:hanging="360"/>
      </w:pPr>
      <w:rPr>
        <w:rFonts w:hint="default"/>
        <w:w w:val="100"/>
        <w:lang w:val="en-US" w:eastAsia="en-US" w:bidi="en-US"/>
      </w:rPr>
    </w:lvl>
    <w:lvl w:ilvl="4">
      <w:numFmt w:val="bullet"/>
      <w:lvlText w:val="•"/>
      <w:lvlJc w:val="left"/>
      <w:pPr>
        <w:ind w:left="4176" w:hanging="360"/>
      </w:pPr>
      <w:rPr>
        <w:rFonts w:hint="default"/>
        <w:lang w:val="en-US" w:eastAsia="en-US" w:bidi="en-US"/>
      </w:rPr>
    </w:lvl>
    <w:lvl w:ilvl="5">
      <w:numFmt w:val="bullet"/>
      <w:lvlText w:val="•"/>
      <w:lvlJc w:val="left"/>
      <w:pPr>
        <w:ind w:left="5047" w:hanging="360"/>
      </w:pPr>
      <w:rPr>
        <w:rFonts w:hint="default"/>
        <w:lang w:val="en-US" w:eastAsia="en-US" w:bidi="en-US"/>
      </w:rPr>
    </w:lvl>
    <w:lvl w:ilvl="6">
      <w:numFmt w:val="bullet"/>
      <w:lvlText w:val="•"/>
      <w:lvlJc w:val="left"/>
      <w:pPr>
        <w:ind w:left="5918" w:hanging="360"/>
      </w:pPr>
      <w:rPr>
        <w:rFonts w:hint="default"/>
        <w:lang w:val="en-US" w:eastAsia="en-US" w:bidi="en-US"/>
      </w:rPr>
    </w:lvl>
    <w:lvl w:ilvl="7">
      <w:numFmt w:val="bullet"/>
      <w:lvlText w:val="•"/>
      <w:lvlJc w:val="left"/>
      <w:pPr>
        <w:ind w:left="6789" w:hanging="360"/>
      </w:pPr>
      <w:rPr>
        <w:rFonts w:hint="default"/>
        <w:lang w:val="en-US" w:eastAsia="en-US" w:bidi="en-US"/>
      </w:rPr>
    </w:lvl>
    <w:lvl w:ilvl="8">
      <w:numFmt w:val="bullet"/>
      <w:lvlText w:val="•"/>
      <w:lvlJc w:val="left"/>
      <w:pPr>
        <w:ind w:left="7659" w:hanging="360"/>
      </w:pPr>
      <w:rPr>
        <w:rFonts w:hint="default"/>
        <w:lang w:val="en-US" w:eastAsia="en-US" w:bidi="en-US"/>
      </w:rPr>
    </w:lvl>
  </w:abstractNum>
  <w:abstractNum w:abstractNumId="12" w15:restartNumberingAfterBreak="0">
    <w:nsid w:val="3F9B5E61"/>
    <w:multiLevelType w:val="hybridMultilevel"/>
    <w:tmpl w:val="04A0B5DC"/>
    <w:lvl w:ilvl="0" w:tplc="08090017">
      <w:start w:val="1"/>
      <w:numFmt w:val="lowerLetter"/>
      <w:lvlText w:val="%1)"/>
      <w:lvlJc w:val="left"/>
      <w:pPr>
        <w:ind w:left="2200" w:hanging="360"/>
      </w:pPr>
    </w:lvl>
    <w:lvl w:ilvl="1" w:tplc="08090019" w:tentative="1">
      <w:start w:val="1"/>
      <w:numFmt w:val="lowerLetter"/>
      <w:lvlText w:val="%2."/>
      <w:lvlJc w:val="left"/>
      <w:pPr>
        <w:ind w:left="2920" w:hanging="360"/>
      </w:pPr>
    </w:lvl>
    <w:lvl w:ilvl="2" w:tplc="0809001B" w:tentative="1">
      <w:start w:val="1"/>
      <w:numFmt w:val="lowerRoman"/>
      <w:lvlText w:val="%3."/>
      <w:lvlJc w:val="right"/>
      <w:pPr>
        <w:ind w:left="3640" w:hanging="180"/>
      </w:pPr>
    </w:lvl>
    <w:lvl w:ilvl="3" w:tplc="0809000F" w:tentative="1">
      <w:start w:val="1"/>
      <w:numFmt w:val="decimal"/>
      <w:lvlText w:val="%4."/>
      <w:lvlJc w:val="left"/>
      <w:pPr>
        <w:ind w:left="4360" w:hanging="360"/>
      </w:pPr>
    </w:lvl>
    <w:lvl w:ilvl="4" w:tplc="08090019" w:tentative="1">
      <w:start w:val="1"/>
      <w:numFmt w:val="lowerLetter"/>
      <w:lvlText w:val="%5."/>
      <w:lvlJc w:val="left"/>
      <w:pPr>
        <w:ind w:left="5080" w:hanging="360"/>
      </w:pPr>
    </w:lvl>
    <w:lvl w:ilvl="5" w:tplc="0809001B" w:tentative="1">
      <w:start w:val="1"/>
      <w:numFmt w:val="lowerRoman"/>
      <w:lvlText w:val="%6."/>
      <w:lvlJc w:val="right"/>
      <w:pPr>
        <w:ind w:left="5800" w:hanging="180"/>
      </w:pPr>
    </w:lvl>
    <w:lvl w:ilvl="6" w:tplc="0809000F" w:tentative="1">
      <w:start w:val="1"/>
      <w:numFmt w:val="decimal"/>
      <w:lvlText w:val="%7."/>
      <w:lvlJc w:val="left"/>
      <w:pPr>
        <w:ind w:left="6520" w:hanging="360"/>
      </w:pPr>
    </w:lvl>
    <w:lvl w:ilvl="7" w:tplc="08090019" w:tentative="1">
      <w:start w:val="1"/>
      <w:numFmt w:val="lowerLetter"/>
      <w:lvlText w:val="%8."/>
      <w:lvlJc w:val="left"/>
      <w:pPr>
        <w:ind w:left="7240" w:hanging="360"/>
      </w:pPr>
    </w:lvl>
    <w:lvl w:ilvl="8" w:tplc="0809001B" w:tentative="1">
      <w:start w:val="1"/>
      <w:numFmt w:val="lowerRoman"/>
      <w:lvlText w:val="%9."/>
      <w:lvlJc w:val="right"/>
      <w:pPr>
        <w:ind w:left="7960" w:hanging="180"/>
      </w:pPr>
    </w:lvl>
  </w:abstractNum>
  <w:abstractNum w:abstractNumId="13" w15:restartNumberingAfterBreak="0">
    <w:nsid w:val="48325AE2"/>
    <w:multiLevelType w:val="hybridMultilevel"/>
    <w:tmpl w:val="BB30C974"/>
    <w:lvl w:ilvl="0" w:tplc="0809000F">
      <w:start w:val="1"/>
      <w:numFmt w:val="decimal"/>
      <w:lvlText w:val="%1."/>
      <w:lvlJc w:val="lef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14" w15:restartNumberingAfterBreak="0">
    <w:nsid w:val="50DA7802"/>
    <w:multiLevelType w:val="hybridMultilevel"/>
    <w:tmpl w:val="76306F16"/>
    <w:lvl w:ilvl="0" w:tplc="1D2EAF2C">
      <w:start w:val="1"/>
      <w:numFmt w:val="decimal"/>
      <w:lvlText w:val="%1"/>
      <w:lvlJc w:val="left"/>
      <w:pPr>
        <w:ind w:left="760" w:hanging="540"/>
      </w:pPr>
      <w:rPr>
        <w:rFonts w:ascii="Arial" w:eastAsia="Arial" w:hAnsi="Arial" w:cs="Arial" w:hint="default"/>
        <w:b/>
        <w:bCs/>
        <w:w w:val="99"/>
        <w:sz w:val="24"/>
        <w:szCs w:val="24"/>
        <w:lang w:val="en-US" w:eastAsia="en-US" w:bidi="en-US"/>
      </w:rPr>
    </w:lvl>
    <w:lvl w:ilvl="1" w:tplc="BEF0B234">
      <w:numFmt w:val="bullet"/>
      <w:lvlText w:val=""/>
      <w:lvlJc w:val="left"/>
      <w:pPr>
        <w:ind w:left="1300" w:hanging="540"/>
      </w:pPr>
      <w:rPr>
        <w:rFonts w:ascii="Symbol" w:eastAsia="Symbol" w:hAnsi="Symbol" w:cs="Symbol" w:hint="default"/>
        <w:w w:val="100"/>
        <w:sz w:val="24"/>
        <w:szCs w:val="24"/>
        <w:lang w:val="en-US" w:eastAsia="en-US" w:bidi="en-US"/>
      </w:rPr>
    </w:lvl>
    <w:lvl w:ilvl="2" w:tplc="E49CB93C">
      <w:numFmt w:val="bullet"/>
      <w:lvlText w:val="•"/>
      <w:lvlJc w:val="left"/>
      <w:pPr>
        <w:ind w:left="2154" w:hanging="540"/>
      </w:pPr>
      <w:rPr>
        <w:rFonts w:hint="default"/>
        <w:lang w:val="en-US" w:eastAsia="en-US" w:bidi="en-US"/>
      </w:rPr>
    </w:lvl>
    <w:lvl w:ilvl="3" w:tplc="A2FE8AA4">
      <w:numFmt w:val="bullet"/>
      <w:lvlText w:val="•"/>
      <w:lvlJc w:val="left"/>
      <w:pPr>
        <w:ind w:left="3008" w:hanging="540"/>
      </w:pPr>
      <w:rPr>
        <w:rFonts w:hint="default"/>
        <w:lang w:val="en-US" w:eastAsia="en-US" w:bidi="en-US"/>
      </w:rPr>
    </w:lvl>
    <w:lvl w:ilvl="4" w:tplc="5C8A7394">
      <w:numFmt w:val="bullet"/>
      <w:lvlText w:val="•"/>
      <w:lvlJc w:val="left"/>
      <w:pPr>
        <w:ind w:left="3862" w:hanging="540"/>
      </w:pPr>
      <w:rPr>
        <w:rFonts w:hint="default"/>
        <w:lang w:val="en-US" w:eastAsia="en-US" w:bidi="en-US"/>
      </w:rPr>
    </w:lvl>
    <w:lvl w:ilvl="5" w:tplc="58149278">
      <w:numFmt w:val="bullet"/>
      <w:lvlText w:val="•"/>
      <w:lvlJc w:val="left"/>
      <w:pPr>
        <w:ind w:left="4716" w:hanging="540"/>
      </w:pPr>
      <w:rPr>
        <w:rFonts w:hint="default"/>
        <w:lang w:val="en-US" w:eastAsia="en-US" w:bidi="en-US"/>
      </w:rPr>
    </w:lvl>
    <w:lvl w:ilvl="6" w:tplc="9BDCDA8C">
      <w:numFmt w:val="bullet"/>
      <w:lvlText w:val="•"/>
      <w:lvlJc w:val="left"/>
      <w:pPr>
        <w:ind w:left="5570" w:hanging="540"/>
      </w:pPr>
      <w:rPr>
        <w:rFonts w:hint="default"/>
        <w:lang w:val="en-US" w:eastAsia="en-US" w:bidi="en-US"/>
      </w:rPr>
    </w:lvl>
    <w:lvl w:ilvl="7" w:tplc="C18478B6">
      <w:numFmt w:val="bullet"/>
      <w:lvlText w:val="•"/>
      <w:lvlJc w:val="left"/>
      <w:pPr>
        <w:ind w:left="6424" w:hanging="540"/>
      </w:pPr>
      <w:rPr>
        <w:rFonts w:hint="default"/>
        <w:lang w:val="en-US" w:eastAsia="en-US" w:bidi="en-US"/>
      </w:rPr>
    </w:lvl>
    <w:lvl w:ilvl="8" w:tplc="3D427960">
      <w:numFmt w:val="bullet"/>
      <w:lvlText w:val="•"/>
      <w:lvlJc w:val="left"/>
      <w:pPr>
        <w:ind w:left="7278" w:hanging="540"/>
      </w:pPr>
      <w:rPr>
        <w:rFonts w:hint="default"/>
        <w:lang w:val="en-US" w:eastAsia="en-US" w:bidi="en-US"/>
      </w:rPr>
    </w:lvl>
  </w:abstractNum>
  <w:abstractNum w:abstractNumId="15" w15:restartNumberingAfterBreak="0">
    <w:nsid w:val="515E47A2"/>
    <w:multiLevelType w:val="hybridMultilevel"/>
    <w:tmpl w:val="CCCA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6E3F6C"/>
    <w:multiLevelType w:val="hybridMultilevel"/>
    <w:tmpl w:val="88385FAA"/>
    <w:lvl w:ilvl="0" w:tplc="08090001">
      <w:start w:val="1"/>
      <w:numFmt w:val="bullet"/>
      <w:lvlText w:val=""/>
      <w:lvlJc w:val="left"/>
      <w:pPr>
        <w:ind w:left="1480" w:hanging="360"/>
      </w:pPr>
      <w:rPr>
        <w:rFonts w:ascii="Symbol" w:hAnsi="Symbol" w:hint="default"/>
      </w:r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17" w15:restartNumberingAfterBreak="0">
    <w:nsid w:val="5BA6319A"/>
    <w:multiLevelType w:val="hybridMultilevel"/>
    <w:tmpl w:val="E5A0BC90"/>
    <w:lvl w:ilvl="0" w:tplc="9648DF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D0265F5"/>
    <w:multiLevelType w:val="hybridMultilevel"/>
    <w:tmpl w:val="FAC4E6D2"/>
    <w:lvl w:ilvl="0" w:tplc="8F1CAC5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5FF46131"/>
    <w:multiLevelType w:val="hybridMultilevel"/>
    <w:tmpl w:val="AF56FB46"/>
    <w:lvl w:ilvl="0" w:tplc="6A162736">
      <w:start w:val="1"/>
      <w:numFmt w:val="lowerLetter"/>
      <w:lvlText w:val="%1)"/>
      <w:lvlJc w:val="left"/>
      <w:pPr>
        <w:ind w:left="1480" w:hanging="360"/>
      </w:pPr>
      <w:rPr>
        <w:rFonts w:ascii="Arial" w:eastAsia="Arial" w:hAnsi="Arial" w:cs="Arial" w:hint="default"/>
        <w:w w:val="99"/>
        <w:sz w:val="24"/>
        <w:szCs w:val="24"/>
        <w:lang w:val="en-US" w:eastAsia="en-US" w:bidi="en-US"/>
      </w:rPr>
    </w:lvl>
    <w:lvl w:ilvl="1" w:tplc="B84491FC">
      <w:numFmt w:val="bullet"/>
      <w:lvlText w:val="•"/>
      <w:lvlJc w:val="left"/>
      <w:pPr>
        <w:ind w:left="2230" w:hanging="360"/>
      </w:pPr>
      <w:rPr>
        <w:rFonts w:hint="default"/>
        <w:lang w:val="en-US" w:eastAsia="en-US" w:bidi="en-US"/>
      </w:rPr>
    </w:lvl>
    <w:lvl w:ilvl="2" w:tplc="0FCEB40E">
      <w:numFmt w:val="bullet"/>
      <w:lvlText w:val="•"/>
      <w:lvlJc w:val="left"/>
      <w:pPr>
        <w:ind w:left="2981" w:hanging="360"/>
      </w:pPr>
      <w:rPr>
        <w:rFonts w:hint="default"/>
        <w:lang w:val="en-US" w:eastAsia="en-US" w:bidi="en-US"/>
      </w:rPr>
    </w:lvl>
    <w:lvl w:ilvl="3" w:tplc="1AA2090E">
      <w:numFmt w:val="bullet"/>
      <w:lvlText w:val="•"/>
      <w:lvlJc w:val="left"/>
      <w:pPr>
        <w:ind w:left="3731" w:hanging="360"/>
      </w:pPr>
      <w:rPr>
        <w:rFonts w:hint="default"/>
        <w:lang w:val="en-US" w:eastAsia="en-US" w:bidi="en-US"/>
      </w:rPr>
    </w:lvl>
    <w:lvl w:ilvl="4" w:tplc="BA481518">
      <w:numFmt w:val="bullet"/>
      <w:lvlText w:val="•"/>
      <w:lvlJc w:val="left"/>
      <w:pPr>
        <w:ind w:left="4482" w:hanging="360"/>
      </w:pPr>
      <w:rPr>
        <w:rFonts w:hint="default"/>
        <w:lang w:val="en-US" w:eastAsia="en-US" w:bidi="en-US"/>
      </w:rPr>
    </w:lvl>
    <w:lvl w:ilvl="5" w:tplc="B05E95CA">
      <w:numFmt w:val="bullet"/>
      <w:lvlText w:val="•"/>
      <w:lvlJc w:val="left"/>
      <w:pPr>
        <w:ind w:left="5233" w:hanging="360"/>
      </w:pPr>
      <w:rPr>
        <w:rFonts w:hint="default"/>
        <w:lang w:val="en-US" w:eastAsia="en-US" w:bidi="en-US"/>
      </w:rPr>
    </w:lvl>
    <w:lvl w:ilvl="6" w:tplc="003C6C68">
      <w:numFmt w:val="bullet"/>
      <w:lvlText w:val="•"/>
      <w:lvlJc w:val="left"/>
      <w:pPr>
        <w:ind w:left="5983" w:hanging="360"/>
      </w:pPr>
      <w:rPr>
        <w:rFonts w:hint="default"/>
        <w:lang w:val="en-US" w:eastAsia="en-US" w:bidi="en-US"/>
      </w:rPr>
    </w:lvl>
    <w:lvl w:ilvl="7" w:tplc="2B0E1084">
      <w:numFmt w:val="bullet"/>
      <w:lvlText w:val="•"/>
      <w:lvlJc w:val="left"/>
      <w:pPr>
        <w:ind w:left="6734" w:hanging="360"/>
      </w:pPr>
      <w:rPr>
        <w:rFonts w:hint="default"/>
        <w:lang w:val="en-US" w:eastAsia="en-US" w:bidi="en-US"/>
      </w:rPr>
    </w:lvl>
    <w:lvl w:ilvl="8" w:tplc="0E901162">
      <w:numFmt w:val="bullet"/>
      <w:lvlText w:val="•"/>
      <w:lvlJc w:val="left"/>
      <w:pPr>
        <w:ind w:left="7485" w:hanging="360"/>
      </w:pPr>
      <w:rPr>
        <w:rFonts w:hint="default"/>
        <w:lang w:val="en-US" w:eastAsia="en-US" w:bidi="en-US"/>
      </w:rPr>
    </w:lvl>
  </w:abstractNum>
  <w:abstractNum w:abstractNumId="20" w15:restartNumberingAfterBreak="0">
    <w:nsid w:val="63DA69C0"/>
    <w:multiLevelType w:val="multilevel"/>
    <w:tmpl w:val="7974C6EE"/>
    <w:lvl w:ilvl="0">
      <w:start w:val="5"/>
      <w:numFmt w:val="decimal"/>
      <w:lvlText w:val="%1"/>
      <w:lvlJc w:val="left"/>
      <w:pPr>
        <w:ind w:left="360" w:hanging="360"/>
      </w:pPr>
      <w:rPr>
        <w:rFonts w:hint="default"/>
      </w:rPr>
    </w:lvl>
    <w:lvl w:ilvl="1">
      <w:start w:val="4"/>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7880" w:hanging="1800"/>
      </w:pPr>
      <w:rPr>
        <w:rFonts w:hint="default"/>
      </w:rPr>
    </w:lvl>
  </w:abstractNum>
  <w:abstractNum w:abstractNumId="21" w15:restartNumberingAfterBreak="0">
    <w:nsid w:val="64FC646C"/>
    <w:multiLevelType w:val="multilevel"/>
    <w:tmpl w:val="AB08EC52"/>
    <w:lvl w:ilvl="0">
      <w:start w:val="7"/>
      <w:numFmt w:val="decimal"/>
      <w:lvlText w:val="%1.0"/>
      <w:lvlJc w:val="left"/>
      <w:pPr>
        <w:ind w:left="1120" w:hanging="360"/>
      </w:pPr>
      <w:rPr>
        <w:rFonts w:hint="default"/>
      </w:rPr>
    </w:lvl>
    <w:lvl w:ilvl="1">
      <w:start w:val="1"/>
      <w:numFmt w:val="decimal"/>
      <w:lvlText w:val="%1.%2"/>
      <w:lvlJc w:val="left"/>
      <w:pPr>
        <w:ind w:left="1840" w:hanging="360"/>
      </w:pPr>
      <w:rPr>
        <w:rFonts w:hint="default"/>
      </w:rPr>
    </w:lvl>
    <w:lvl w:ilvl="2">
      <w:start w:val="1"/>
      <w:numFmt w:val="decimal"/>
      <w:lvlText w:val="%1.%2.%3"/>
      <w:lvlJc w:val="left"/>
      <w:pPr>
        <w:ind w:left="2920" w:hanging="720"/>
      </w:pPr>
      <w:rPr>
        <w:rFonts w:hint="default"/>
      </w:rPr>
    </w:lvl>
    <w:lvl w:ilvl="3">
      <w:start w:val="1"/>
      <w:numFmt w:val="decimal"/>
      <w:lvlText w:val="%1.%2.%3.%4"/>
      <w:lvlJc w:val="left"/>
      <w:pPr>
        <w:ind w:left="4000" w:hanging="1080"/>
      </w:pPr>
      <w:rPr>
        <w:rFonts w:hint="default"/>
      </w:rPr>
    </w:lvl>
    <w:lvl w:ilvl="4">
      <w:start w:val="1"/>
      <w:numFmt w:val="decimal"/>
      <w:lvlText w:val="%1.%2.%3.%4.%5"/>
      <w:lvlJc w:val="left"/>
      <w:pPr>
        <w:ind w:left="4720" w:hanging="1080"/>
      </w:pPr>
      <w:rPr>
        <w:rFonts w:hint="default"/>
      </w:rPr>
    </w:lvl>
    <w:lvl w:ilvl="5">
      <w:start w:val="1"/>
      <w:numFmt w:val="decimal"/>
      <w:lvlText w:val="%1.%2.%3.%4.%5.%6"/>
      <w:lvlJc w:val="left"/>
      <w:pPr>
        <w:ind w:left="5800" w:hanging="1440"/>
      </w:pPr>
      <w:rPr>
        <w:rFonts w:hint="default"/>
      </w:rPr>
    </w:lvl>
    <w:lvl w:ilvl="6">
      <w:start w:val="1"/>
      <w:numFmt w:val="decimal"/>
      <w:lvlText w:val="%1.%2.%3.%4.%5.%6.%7"/>
      <w:lvlJc w:val="left"/>
      <w:pPr>
        <w:ind w:left="6520" w:hanging="1440"/>
      </w:pPr>
      <w:rPr>
        <w:rFonts w:hint="default"/>
      </w:rPr>
    </w:lvl>
    <w:lvl w:ilvl="7">
      <w:start w:val="1"/>
      <w:numFmt w:val="decimal"/>
      <w:lvlText w:val="%1.%2.%3.%4.%5.%6.%7.%8"/>
      <w:lvlJc w:val="left"/>
      <w:pPr>
        <w:ind w:left="7600" w:hanging="1800"/>
      </w:pPr>
      <w:rPr>
        <w:rFonts w:hint="default"/>
      </w:rPr>
    </w:lvl>
    <w:lvl w:ilvl="8">
      <w:start w:val="1"/>
      <w:numFmt w:val="decimal"/>
      <w:lvlText w:val="%1.%2.%3.%4.%5.%6.%7.%8.%9"/>
      <w:lvlJc w:val="left"/>
      <w:pPr>
        <w:ind w:left="8320" w:hanging="1800"/>
      </w:pPr>
      <w:rPr>
        <w:rFonts w:hint="default"/>
      </w:rPr>
    </w:lvl>
  </w:abstractNum>
  <w:abstractNum w:abstractNumId="22" w15:restartNumberingAfterBreak="0">
    <w:nsid w:val="66854B45"/>
    <w:multiLevelType w:val="multilevel"/>
    <w:tmpl w:val="9FC273C8"/>
    <w:lvl w:ilvl="0">
      <w:start w:val="3"/>
      <w:numFmt w:val="decimal"/>
      <w:lvlText w:val="%1"/>
      <w:lvlJc w:val="left"/>
      <w:pPr>
        <w:ind w:left="1715" w:hanging="540"/>
        <w:jc w:val="right"/>
      </w:pPr>
      <w:rPr>
        <w:rFonts w:hint="default"/>
        <w:lang w:val="en-US" w:eastAsia="en-US" w:bidi="en-US"/>
      </w:rPr>
    </w:lvl>
    <w:lvl w:ilvl="1">
      <w:start w:val="1"/>
      <w:numFmt w:val="decimal"/>
      <w:lvlText w:val="%1.%2"/>
      <w:lvlJc w:val="left"/>
      <w:pPr>
        <w:ind w:left="1533" w:hanging="540"/>
      </w:pPr>
      <w:rPr>
        <w:rFonts w:ascii="Arial" w:eastAsia="Arial" w:hAnsi="Arial" w:cs="Arial" w:hint="default"/>
        <w:b/>
        <w:bCs/>
        <w:w w:val="99"/>
        <w:sz w:val="24"/>
        <w:szCs w:val="24"/>
        <w:lang w:val="en-US" w:eastAsia="en-US" w:bidi="en-US"/>
      </w:rPr>
    </w:lvl>
    <w:lvl w:ilvl="2">
      <w:start w:val="1"/>
      <w:numFmt w:val="bullet"/>
      <w:lvlText w:val="o"/>
      <w:lvlJc w:val="left"/>
      <w:pPr>
        <w:ind w:left="1895" w:hanging="360"/>
      </w:pPr>
      <w:rPr>
        <w:rFonts w:ascii="Courier New" w:hAnsi="Courier New" w:cs="Courier New" w:hint="default"/>
      </w:rPr>
    </w:lvl>
    <w:lvl w:ilvl="3">
      <w:numFmt w:val="bullet"/>
      <w:lvlText w:val="o"/>
      <w:lvlJc w:val="left"/>
      <w:pPr>
        <w:ind w:left="2435" w:hanging="360"/>
      </w:pPr>
      <w:rPr>
        <w:rFonts w:hint="default"/>
        <w:w w:val="100"/>
        <w:lang w:val="en-US" w:eastAsia="en-US" w:bidi="en-US"/>
      </w:rPr>
    </w:lvl>
    <w:lvl w:ilvl="4">
      <w:numFmt w:val="bullet"/>
      <w:lvlText w:val="•"/>
      <w:lvlJc w:val="left"/>
      <w:pPr>
        <w:ind w:left="4176" w:hanging="360"/>
      </w:pPr>
      <w:rPr>
        <w:rFonts w:hint="default"/>
        <w:lang w:val="en-US" w:eastAsia="en-US" w:bidi="en-US"/>
      </w:rPr>
    </w:lvl>
    <w:lvl w:ilvl="5">
      <w:numFmt w:val="bullet"/>
      <w:lvlText w:val="•"/>
      <w:lvlJc w:val="left"/>
      <w:pPr>
        <w:ind w:left="5047" w:hanging="360"/>
      </w:pPr>
      <w:rPr>
        <w:rFonts w:hint="default"/>
        <w:lang w:val="en-US" w:eastAsia="en-US" w:bidi="en-US"/>
      </w:rPr>
    </w:lvl>
    <w:lvl w:ilvl="6">
      <w:numFmt w:val="bullet"/>
      <w:lvlText w:val="•"/>
      <w:lvlJc w:val="left"/>
      <w:pPr>
        <w:ind w:left="5918" w:hanging="360"/>
      </w:pPr>
      <w:rPr>
        <w:rFonts w:hint="default"/>
        <w:lang w:val="en-US" w:eastAsia="en-US" w:bidi="en-US"/>
      </w:rPr>
    </w:lvl>
    <w:lvl w:ilvl="7">
      <w:numFmt w:val="bullet"/>
      <w:lvlText w:val="•"/>
      <w:lvlJc w:val="left"/>
      <w:pPr>
        <w:ind w:left="6789" w:hanging="360"/>
      </w:pPr>
      <w:rPr>
        <w:rFonts w:hint="default"/>
        <w:lang w:val="en-US" w:eastAsia="en-US" w:bidi="en-US"/>
      </w:rPr>
    </w:lvl>
    <w:lvl w:ilvl="8">
      <w:numFmt w:val="bullet"/>
      <w:lvlText w:val="•"/>
      <w:lvlJc w:val="left"/>
      <w:pPr>
        <w:ind w:left="7659" w:hanging="360"/>
      </w:pPr>
      <w:rPr>
        <w:rFonts w:hint="default"/>
        <w:lang w:val="en-US" w:eastAsia="en-US" w:bidi="en-US"/>
      </w:rPr>
    </w:lvl>
  </w:abstractNum>
  <w:abstractNum w:abstractNumId="23" w15:restartNumberingAfterBreak="0">
    <w:nsid w:val="68222D47"/>
    <w:multiLevelType w:val="hybridMultilevel"/>
    <w:tmpl w:val="6D280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4C290F"/>
    <w:multiLevelType w:val="hybridMultilevel"/>
    <w:tmpl w:val="55F28626"/>
    <w:lvl w:ilvl="0" w:tplc="BED0EBCC">
      <w:start w:val="1"/>
      <w:numFmt w:val="lowerLetter"/>
      <w:lvlText w:val="%1)"/>
      <w:lvlJc w:val="left"/>
      <w:pPr>
        <w:ind w:left="1660" w:hanging="360"/>
      </w:pPr>
      <w:rPr>
        <w:rFonts w:ascii="Arial" w:eastAsia="Arial" w:hAnsi="Arial" w:cs="Arial" w:hint="default"/>
        <w:b/>
        <w:bCs/>
        <w:w w:val="99"/>
        <w:sz w:val="24"/>
        <w:szCs w:val="24"/>
        <w:lang w:val="en-US" w:eastAsia="en-US" w:bidi="en-US"/>
      </w:rPr>
    </w:lvl>
    <w:lvl w:ilvl="1" w:tplc="0658E1D6">
      <w:numFmt w:val="bullet"/>
      <w:lvlText w:val=""/>
      <w:lvlJc w:val="left"/>
      <w:pPr>
        <w:ind w:left="2020" w:hanging="360"/>
      </w:pPr>
      <w:rPr>
        <w:rFonts w:ascii="Symbol" w:eastAsia="Symbol" w:hAnsi="Symbol" w:cs="Symbol" w:hint="default"/>
        <w:w w:val="100"/>
        <w:sz w:val="24"/>
        <w:szCs w:val="24"/>
        <w:lang w:val="en-US" w:eastAsia="en-US" w:bidi="en-US"/>
      </w:rPr>
    </w:lvl>
    <w:lvl w:ilvl="2" w:tplc="4ABEC95C">
      <w:numFmt w:val="bullet"/>
      <w:lvlText w:val="•"/>
      <w:lvlJc w:val="left"/>
      <w:pPr>
        <w:ind w:left="2794" w:hanging="360"/>
      </w:pPr>
      <w:rPr>
        <w:rFonts w:hint="default"/>
        <w:lang w:val="en-US" w:eastAsia="en-US" w:bidi="en-US"/>
      </w:rPr>
    </w:lvl>
    <w:lvl w:ilvl="3" w:tplc="446A165A">
      <w:numFmt w:val="bullet"/>
      <w:lvlText w:val="•"/>
      <w:lvlJc w:val="left"/>
      <w:pPr>
        <w:ind w:left="3568" w:hanging="360"/>
      </w:pPr>
      <w:rPr>
        <w:rFonts w:hint="default"/>
        <w:lang w:val="en-US" w:eastAsia="en-US" w:bidi="en-US"/>
      </w:rPr>
    </w:lvl>
    <w:lvl w:ilvl="4" w:tplc="F5020310">
      <w:numFmt w:val="bullet"/>
      <w:lvlText w:val="•"/>
      <w:lvlJc w:val="left"/>
      <w:pPr>
        <w:ind w:left="4342" w:hanging="360"/>
      </w:pPr>
      <w:rPr>
        <w:rFonts w:hint="default"/>
        <w:lang w:val="en-US" w:eastAsia="en-US" w:bidi="en-US"/>
      </w:rPr>
    </w:lvl>
    <w:lvl w:ilvl="5" w:tplc="FC98F466">
      <w:numFmt w:val="bullet"/>
      <w:lvlText w:val="•"/>
      <w:lvlJc w:val="left"/>
      <w:pPr>
        <w:ind w:left="5116" w:hanging="360"/>
      </w:pPr>
      <w:rPr>
        <w:rFonts w:hint="default"/>
        <w:lang w:val="en-US" w:eastAsia="en-US" w:bidi="en-US"/>
      </w:rPr>
    </w:lvl>
    <w:lvl w:ilvl="6" w:tplc="B07AC3BA">
      <w:numFmt w:val="bullet"/>
      <w:lvlText w:val="•"/>
      <w:lvlJc w:val="left"/>
      <w:pPr>
        <w:ind w:left="5890" w:hanging="360"/>
      </w:pPr>
      <w:rPr>
        <w:rFonts w:hint="default"/>
        <w:lang w:val="en-US" w:eastAsia="en-US" w:bidi="en-US"/>
      </w:rPr>
    </w:lvl>
    <w:lvl w:ilvl="7" w:tplc="460820A4">
      <w:numFmt w:val="bullet"/>
      <w:lvlText w:val="•"/>
      <w:lvlJc w:val="left"/>
      <w:pPr>
        <w:ind w:left="6664" w:hanging="360"/>
      </w:pPr>
      <w:rPr>
        <w:rFonts w:hint="default"/>
        <w:lang w:val="en-US" w:eastAsia="en-US" w:bidi="en-US"/>
      </w:rPr>
    </w:lvl>
    <w:lvl w:ilvl="8" w:tplc="74F43F62">
      <w:numFmt w:val="bullet"/>
      <w:lvlText w:val="•"/>
      <w:lvlJc w:val="left"/>
      <w:pPr>
        <w:ind w:left="7438" w:hanging="360"/>
      </w:pPr>
      <w:rPr>
        <w:rFonts w:hint="default"/>
        <w:lang w:val="en-US" w:eastAsia="en-US" w:bidi="en-US"/>
      </w:rPr>
    </w:lvl>
  </w:abstractNum>
  <w:abstractNum w:abstractNumId="25" w15:restartNumberingAfterBreak="0">
    <w:nsid w:val="7891326E"/>
    <w:multiLevelType w:val="hybridMultilevel"/>
    <w:tmpl w:val="A802D3E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15:restartNumberingAfterBreak="0">
    <w:nsid w:val="79CB243A"/>
    <w:multiLevelType w:val="hybridMultilevel"/>
    <w:tmpl w:val="03902822"/>
    <w:lvl w:ilvl="0" w:tplc="08090001">
      <w:start w:val="1"/>
      <w:numFmt w:val="bullet"/>
      <w:lvlText w:val=""/>
      <w:lvlJc w:val="left"/>
      <w:pPr>
        <w:ind w:left="1870" w:hanging="360"/>
      </w:pPr>
      <w:rPr>
        <w:rFonts w:ascii="Symbol" w:hAnsi="Symbol" w:hint="default"/>
      </w:rPr>
    </w:lvl>
    <w:lvl w:ilvl="1" w:tplc="08090003" w:tentative="1">
      <w:start w:val="1"/>
      <w:numFmt w:val="bullet"/>
      <w:lvlText w:val="o"/>
      <w:lvlJc w:val="left"/>
      <w:pPr>
        <w:ind w:left="2590" w:hanging="360"/>
      </w:pPr>
      <w:rPr>
        <w:rFonts w:ascii="Courier New" w:hAnsi="Courier New" w:cs="Courier New" w:hint="default"/>
      </w:rPr>
    </w:lvl>
    <w:lvl w:ilvl="2" w:tplc="08090005" w:tentative="1">
      <w:start w:val="1"/>
      <w:numFmt w:val="bullet"/>
      <w:lvlText w:val=""/>
      <w:lvlJc w:val="left"/>
      <w:pPr>
        <w:ind w:left="3310" w:hanging="360"/>
      </w:pPr>
      <w:rPr>
        <w:rFonts w:ascii="Wingdings" w:hAnsi="Wingdings" w:hint="default"/>
      </w:rPr>
    </w:lvl>
    <w:lvl w:ilvl="3" w:tplc="08090001" w:tentative="1">
      <w:start w:val="1"/>
      <w:numFmt w:val="bullet"/>
      <w:lvlText w:val=""/>
      <w:lvlJc w:val="left"/>
      <w:pPr>
        <w:ind w:left="4030" w:hanging="360"/>
      </w:pPr>
      <w:rPr>
        <w:rFonts w:ascii="Symbol" w:hAnsi="Symbol" w:hint="default"/>
      </w:rPr>
    </w:lvl>
    <w:lvl w:ilvl="4" w:tplc="08090003" w:tentative="1">
      <w:start w:val="1"/>
      <w:numFmt w:val="bullet"/>
      <w:lvlText w:val="o"/>
      <w:lvlJc w:val="left"/>
      <w:pPr>
        <w:ind w:left="4750" w:hanging="360"/>
      </w:pPr>
      <w:rPr>
        <w:rFonts w:ascii="Courier New" w:hAnsi="Courier New" w:cs="Courier New" w:hint="default"/>
      </w:rPr>
    </w:lvl>
    <w:lvl w:ilvl="5" w:tplc="08090005" w:tentative="1">
      <w:start w:val="1"/>
      <w:numFmt w:val="bullet"/>
      <w:lvlText w:val=""/>
      <w:lvlJc w:val="left"/>
      <w:pPr>
        <w:ind w:left="5470" w:hanging="360"/>
      </w:pPr>
      <w:rPr>
        <w:rFonts w:ascii="Wingdings" w:hAnsi="Wingdings" w:hint="default"/>
      </w:rPr>
    </w:lvl>
    <w:lvl w:ilvl="6" w:tplc="08090001" w:tentative="1">
      <w:start w:val="1"/>
      <w:numFmt w:val="bullet"/>
      <w:lvlText w:val=""/>
      <w:lvlJc w:val="left"/>
      <w:pPr>
        <w:ind w:left="6190" w:hanging="360"/>
      </w:pPr>
      <w:rPr>
        <w:rFonts w:ascii="Symbol" w:hAnsi="Symbol" w:hint="default"/>
      </w:rPr>
    </w:lvl>
    <w:lvl w:ilvl="7" w:tplc="08090003" w:tentative="1">
      <w:start w:val="1"/>
      <w:numFmt w:val="bullet"/>
      <w:lvlText w:val="o"/>
      <w:lvlJc w:val="left"/>
      <w:pPr>
        <w:ind w:left="6910" w:hanging="360"/>
      </w:pPr>
      <w:rPr>
        <w:rFonts w:ascii="Courier New" w:hAnsi="Courier New" w:cs="Courier New" w:hint="default"/>
      </w:rPr>
    </w:lvl>
    <w:lvl w:ilvl="8" w:tplc="08090005" w:tentative="1">
      <w:start w:val="1"/>
      <w:numFmt w:val="bullet"/>
      <w:lvlText w:val=""/>
      <w:lvlJc w:val="left"/>
      <w:pPr>
        <w:ind w:left="7630" w:hanging="360"/>
      </w:pPr>
      <w:rPr>
        <w:rFonts w:ascii="Wingdings" w:hAnsi="Wingdings" w:hint="default"/>
      </w:rPr>
    </w:lvl>
  </w:abstractNum>
  <w:num w:numId="1" w16cid:durableId="797843374">
    <w:abstractNumId w:val="19"/>
  </w:num>
  <w:num w:numId="2" w16cid:durableId="323321628">
    <w:abstractNumId w:val="2"/>
  </w:num>
  <w:num w:numId="3" w16cid:durableId="2118673453">
    <w:abstractNumId w:val="10"/>
  </w:num>
  <w:num w:numId="4" w16cid:durableId="1363172232">
    <w:abstractNumId w:val="24"/>
  </w:num>
  <w:num w:numId="5" w16cid:durableId="1876189460">
    <w:abstractNumId w:val="1"/>
  </w:num>
  <w:num w:numId="6" w16cid:durableId="1182428664">
    <w:abstractNumId w:val="14"/>
  </w:num>
  <w:num w:numId="7" w16cid:durableId="1430276210">
    <w:abstractNumId w:val="4"/>
  </w:num>
  <w:num w:numId="8" w16cid:durableId="1040013304">
    <w:abstractNumId w:val="16"/>
  </w:num>
  <w:num w:numId="9" w16cid:durableId="1776749333">
    <w:abstractNumId w:val="7"/>
  </w:num>
  <w:num w:numId="10" w16cid:durableId="2100828325">
    <w:abstractNumId w:val="17"/>
  </w:num>
  <w:num w:numId="11" w16cid:durableId="687753690">
    <w:abstractNumId w:val="8"/>
  </w:num>
  <w:num w:numId="12" w16cid:durableId="370106894">
    <w:abstractNumId w:val="20"/>
  </w:num>
  <w:num w:numId="13" w16cid:durableId="551354443">
    <w:abstractNumId w:val="9"/>
  </w:num>
  <w:num w:numId="14" w16cid:durableId="1574895687">
    <w:abstractNumId w:val="0"/>
  </w:num>
  <w:num w:numId="15" w16cid:durableId="845021845">
    <w:abstractNumId w:val="21"/>
  </w:num>
  <w:num w:numId="16" w16cid:durableId="763648130">
    <w:abstractNumId w:val="12"/>
  </w:num>
  <w:num w:numId="17" w16cid:durableId="310644318">
    <w:abstractNumId w:val="26"/>
  </w:num>
  <w:num w:numId="18" w16cid:durableId="325865974">
    <w:abstractNumId w:val="6"/>
  </w:num>
  <w:num w:numId="19" w16cid:durableId="46342714">
    <w:abstractNumId w:val="3"/>
  </w:num>
  <w:num w:numId="20" w16cid:durableId="1541671461">
    <w:abstractNumId w:val="22"/>
  </w:num>
  <w:num w:numId="21" w16cid:durableId="327253376">
    <w:abstractNumId w:val="11"/>
  </w:num>
  <w:num w:numId="22" w16cid:durableId="339504148">
    <w:abstractNumId w:val="25"/>
  </w:num>
  <w:num w:numId="23" w16cid:durableId="2046099874">
    <w:abstractNumId w:val="13"/>
  </w:num>
  <w:num w:numId="24" w16cid:durableId="294876080">
    <w:abstractNumId w:val="18"/>
  </w:num>
  <w:num w:numId="25" w16cid:durableId="1328823748">
    <w:abstractNumId w:val="15"/>
  </w:num>
  <w:num w:numId="26" w16cid:durableId="642930629">
    <w:abstractNumId w:val="23"/>
  </w:num>
  <w:num w:numId="27" w16cid:durableId="368913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98"/>
    <w:rsid w:val="00016CAF"/>
    <w:rsid w:val="000435AD"/>
    <w:rsid w:val="00045708"/>
    <w:rsid w:val="00097103"/>
    <w:rsid w:val="000C1AFA"/>
    <w:rsid w:val="000C2414"/>
    <w:rsid w:val="000E4DFB"/>
    <w:rsid w:val="000F3BE9"/>
    <w:rsid w:val="000F6CC0"/>
    <w:rsid w:val="00104A79"/>
    <w:rsid w:val="0011469B"/>
    <w:rsid w:val="00123F6D"/>
    <w:rsid w:val="0013501E"/>
    <w:rsid w:val="00147F68"/>
    <w:rsid w:val="00154FDD"/>
    <w:rsid w:val="00167655"/>
    <w:rsid w:val="00176B9E"/>
    <w:rsid w:val="001A0C1C"/>
    <w:rsid w:val="001A407E"/>
    <w:rsid w:val="001B1274"/>
    <w:rsid w:val="001C7DB0"/>
    <w:rsid w:val="00227F55"/>
    <w:rsid w:val="00242FE5"/>
    <w:rsid w:val="00291328"/>
    <w:rsid w:val="002B54A2"/>
    <w:rsid w:val="002D2C70"/>
    <w:rsid w:val="002D5D81"/>
    <w:rsid w:val="002F78B3"/>
    <w:rsid w:val="00330E06"/>
    <w:rsid w:val="00334496"/>
    <w:rsid w:val="00335E5A"/>
    <w:rsid w:val="003569DD"/>
    <w:rsid w:val="00371E04"/>
    <w:rsid w:val="003A6B64"/>
    <w:rsid w:val="003B7282"/>
    <w:rsid w:val="003D3061"/>
    <w:rsid w:val="00407A6F"/>
    <w:rsid w:val="00415DDE"/>
    <w:rsid w:val="004402E5"/>
    <w:rsid w:val="00456F1F"/>
    <w:rsid w:val="004574E3"/>
    <w:rsid w:val="00493963"/>
    <w:rsid w:val="004B03D0"/>
    <w:rsid w:val="004B0AAA"/>
    <w:rsid w:val="004D258A"/>
    <w:rsid w:val="004F293C"/>
    <w:rsid w:val="00522745"/>
    <w:rsid w:val="00526B85"/>
    <w:rsid w:val="00554F95"/>
    <w:rsid w:val="00596A5C"/>
    <w:rsid w:val="005B4584"/>
    <w:rsid w:val="005C7E80"/>
    <w:rsid w:val="005D05EB"/>
    <w:rsid w:val="005D64A8"/>
    <w:rsid w:val="00602C83"/>
    <w:rsid w:val="006153E7"/>
    <w:rsid w:val="006525BE"/>
    <w:rsid w:val="00670E56"/>
    <w:rsid w:val="00671766"/>
    <w:rsid w:val="00693063"/>
    <w:rsid w:val="006D66E9"/>
    <w:rsid w:val="00712D04"/>
    <w:rsid w:val="00735D1B"/>
    <w:rsid w:val="00763DCB"/>
    <w:rsid w:val="00765CAF"/>
    <w:rsid w:val="007714A3"/>
    <w:rsid w:val="00781423"/>
    <w:rsid w:val="007929F8"/>
    <w:rsid w:val="007C528E"/>
    <w:rsid w:val="007D1678"/>
    <w:rsid w:val="007D28F6"/>
    <w:rsid w:val="00801198"/>
    <w:rsid w:val="00826022"/>
    <w:rsid w:val="008406A4"/>
    <w:rsid w:val="0085036F"/>
    <w:rsid w:val="00860F18"/>
    <w:rsid w:val="00881F9C"/>
    <w:rsid w:val="00882914"/>
    <w:rsid w:val="008C6F9C"/>
    <w:rsid w:val="008D74F1"/>
    <w:rsid w:val="00916957"/>
    <w:rsid w:val="009440D8"/>
    <w:rsid w:val="00982B09"/>
    <w:rsid w:val="009B361D"/>
    <w:rsid w:val="009C4AB5"/>
    <w:rsid w:val="009E7D03"/>
    <w:rsid w:val="009F6489"/>
    <w:rsid w:val="00A25244"/>
    <w:rsid w:val="00A444EC"/>
    <w:rsid w:val="00AA0F92"/>
    <w:rsid w:val="00AC5278"/>
    <w:rsid w:val="00AC5F02"/>
    <w:rsid w:val="00AD57F5"/>
    <w:rsid w:val="00AD7091"/>
    <w:rsid w:val="00AE0635"/>
    <w:rsid w:val="00AE5012"/>
    <w:rsid w:val="00B501C4"/>
    <w:rsid w:val="00B875F4"/>
    <w:rsid w:val="00BE30B7"/>
    <w:rsid w:val="00BE797A"/>
    <w:rsid w:val="00BF60E7"/>
    <w:rsid w:val="00C052A5"/>
    <w:rsid w:val="00C278D1"/>
    <w:rsid w:val="00C5313A"/>
    <w:rsid w:val="00CA38CD"/>
    <w:rsid w:val="00CA3EFD"/>
    <w:rsid w:val="00CA42F7"/>
    <w:rsid w:val="00CB187A"/>
    <w:rsid w:val="00CB4ABE"/>
    <w:rsid w:val="00CD5E33"/>
    <w:rsid w:val="00D2369A"/>
    <w:rsid w:val="00D34444"/>
    <w:rsid w:val="00D362FD"/>
    <w:rsid w:val="00D60602"/>
    <w:rsid w:val="00D64036"/>
    <w:rsid w:val="00D9391B"/>
    <w:rsid w:val="00DC3E83"/>
    <w:rsid w:val="00E14488"/>
    <w:rsid w:val="00E26835"/>
    <w:rsid w:val="00E26E5E"/>
    <w:rsid w:val="00E35354"/>
    <w:rsid w:val="00E46FC1"/>
    <w:rsid w:val="00EB3EEB"/>
    <w:rsid w:val="00ED33F1"/>
    <w:rsid w:val="00EF274B"/>
    <w:rsid w:val="00F60021"/>
    <w:rsid w:val="00F619E1"/>
    <w:rsid w:val="00F72DF2"/>
    <w:rsid w:val="00F849FF"/>
    <w:rsid w:val="00F8753C"/>
    <w:rsid w:val="00FA5764"/>
    <w:rsid w:val="00FD78D8"/>
    <w:rsid w:val="00FE4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DF10C"/>
  <w15:docId w15:val="{AF7FC848-475A-43D2-A20F-5DFF7868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300"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480"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B54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4A2"/>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735D1B"/>
    <w:rPr>
      <w:sz w:val="16"/>
      <w:szCs w:val="16"/>
    </w:rPr>
  </w:style>
  <w:style w:type="paragraph" w:styleId="CommentText">
    <w:name w:val="annotation text"/>
    <w:basedOn w:val="Normal"/>
    <w:link w:val="CommentTextChar"/>
    <w:uiPriority w:val="99"/>
    <w:unhideWhenUsed/>
    <w:rsid w:val="00735D1B"/>
    <w:rPr>
      <w:sz w:val="20"/>
      <w:szCs w:val="20"/>
    </w:rPr>
  </w:style>
  <w:style w:type="character" w:customStyle="1" w:styleId="CommentTextChar">
    <w:name w:val="Comment Text Char"/>
    <w:basedOn w:val="DefaultParagraphFont"/>
    <w:link w:val="CommentText"/>
    <w:uiPriority w:val="99"/>
    <w:rsid w:val="00735D1B"/>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35D1B"/>
    <w:rPr>
      <w:b/>
      <w:bCs/>
    </w:rPr>
  </w:style>
  <w:style w:type="character" w:customStyle="1" w:styleId="CommentSubjectChar">
    <w:name w:val="Comment Subject Char"/>
    <w:basedOn w:val="CommentTextChar"/>
    <w:link w:val="CommentSubject"/>
    <w:uiPriority w:val="99"/>
    <w:semiHidden/>
    <w:rsid w:val="00735D1B"/>
    <w:rPr>
      <w:rFonts w:ascii="Arial" w:eastAsia="Arial" w:hAnsi="Arial" w:cs="Arial"/>
      <w:b/>
      <w:bCs/>
      <w:sz w:val="20"/>
      <w:szCs w:val="20"/>
      <w:lang w:bidi="en-US"/>
    </w:rPr>
  </w:style>
  <w:style w:type="table" w:styleId="TableGrid">
    <w:name w:val="Table Grid"/>
    <w:basedOn w:val="TableNormal"/>
    <w:uiPriority w:val="39"/>
    <w:rsid w:val="000C2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3061"/>
    <w:pPr>
      <w:tabs>
        <w:tab w:val="center" w:pos="4513"/>
        <w:tab w:val="right" w:pos="9026"/>
      </w:tabs>
    </w:pPr>
  </w:style>
  <w:style w:type="character" w:customStyle="1" w:styleId="HeaderChar">
    <w:name w:val="Header Char"/>
    <w:basedOn w:val="DefaultParagraphFont"/>
    <w:link w:val="Header"/>
    <w:uiPriority w:val="99"/>
    <w:rsid w:val="003D3061"/>
    <w:rPr>
      <w:rFonts w:ascii="Arial" w:eastAsia="Arial" w:hAnsi="Arial" w:cs="Arial"/>
      <w:lang w:bidi="en-US"/>
    </w:rPr>
  </w:style>
  <w:style w:type="paragraph" w:styleId="Footer">
    <w:name w:val="footer"/>
    <w:basedOn w:val="Normal"/>
    <w:link w:val="FooterChar"/>
    <w:uiPriority w:val="99"/>
    <w:unhideWhenUsed/>
    <w:rsid w:val="003D3061"/>
    <w:pPr>
      <w:tabs>
        <w:tab w:val="center" w:pos="4513"/>
        <w:tab w:val="right" w:pos="9026"/>
      </w:tabs>
    </w:pPr>
  </w:style>
  <w:style w:type="character" w:customStyle="1" w:styleId="FooterChar">
    <w:name w:val="Footer Char"/>
    <w:basedOn w:val="DefaultParagraphFont"/>
    <w:link w:val="Footer"/>
    <w:uiPriority w:val="99"/>
    <w:rsid w:val="003D3061"/>
    <w:rPr>
      <w:rFonts w:ascii="Arial" w:eastAsia="Arial" w:hAnsi="Arial" w:cs="Arial"/>
      <w:lang w:bidi="en-US"/>
    </w:rPr>
  </w:style>
  <w:style w:type="paragraph" w:styleId="Revision">
    <w:name w:val="Revision"/>
    <w:hidden/>
    <w:uiPriority w:val="99"/>
    <w:semiHidden/>
    <w:rsid w:val="000C1AFA"/>
    <w:pPr>
      <w:widowControl/>
      <w:autoSpaceDE/>
      <w:autoSpaceDN/>
    </w:pPr>
    <w:rPr>
      <w:rFonts w:ascii="Arial" w:eastAsia="Arial" w:hAnsi="Arial" w:cs="Arial"/>
      <w:lang w:bidi="en-US"/>
    </w:rPr>
  </w:style>
  <w:style w:type="character" w:customStyle="1" w:styleId="BodyTextChar">
    <w:name w:val="Body Text Char"/>
    <w:basedOn w:val="DefaultParagraphFont"/>
    <w:link w:val="BodyText"/>
    <w:uiPriority w:val="1"/>
    <w:rsid w:val="00693063"/>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04544">
      <w:bodyDiv w:val="1"/>
      <w:marLeft w:val="0"/>
      <w:marRight w:val="0"/>
      <w:marTop w:val="0"/>
      <w:marBottom w:val="0"/>
      <w:divBdr>
        <w:top w:val="none" w:sz="0" w:space="0" w:color="auto"/>
        <w:left w:val="none" w:sz="0" w:space="0" w:color="auto"/>
        <w:bottom w:val="none" w:sz="0" w:space="0" w:color="auto"/>
        <w:right w:val="none" w:sz="0" w:space="0" w:color="auto"/>
      </w:divBdr>
    </w:div>
    <w:div w:id="1272513882">
      <w:bodyDiv w:val="1"/>
      <w:marLeft w:val="0"/>
      <w:marRight w:val="0"/>
      <w:marTop w:val="0"/>
      <w:marBottom w:val="0"/>
      <w:divBdr>
        <w:top w:val="none" w:sz="0" w:space="0" w:color="auto"/>
        <w:left w:val="none" w:sz="0" w:space="0" w:color="auto"/>
        <w:bottom w:val="none" w:sz="0" w:space="0" w:color="auto"/>
        <w:right w:val="none" w:sz="0" w:space="0" w:color="auto"/>
      </w:divBdr>
    </w:div>
    <w:div w:id="145575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f542a25-3ed2-4634-9d42-14cd2c313941">6DSR3CVAPUYW-345711111-5</_dlc_DocId>
    <_dlc_DocIdUrl xmlns="cf542a25-3ed2-4634-9d42-14cd2c313941">
      <Url>http://rmbcintranet/Directorates/ACH/Housing/_layouts/15/DocIdRedir.aspx?ID=6DSR3CVAPUYW-345711111-5</Url>
      <Description>6DSR3CVAPUYW-345711111-5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4FB4A692B15434AB9FD110BCBE2D73C" ma:contentTypeVersion="5" ma:contentTypeDescription="Create a new document." ma:contentTypeScope="" ma:versionID="55ff538bcc3b0b3c797d1187a05736cb">
  <xsd:schema xmlns:xsd="http://www.w3.org/2001/XMLSchema" xmlns:xs="http://www.w3.org/2001/XMLSchema" xmlns:p="http://schemas.microsoft.com/office/2006/metadata/properties" xmlns:ns2="cf542a25-3ed2-4634-9d42-14cd2c313941" xmlns:ns3="d82c6e2f-2abf-493e-8e00-a4b8e4eb4a83" targetNamespace="http://schemas.microsoft.com/office/2006/metadata/properties" ma:root="true" ma:fieldsID="5de1f621e01b711868588d0b5d5ca3d8" ns2:_="" ns3:_="">
    <xsd:import namespace="cf542a25-3ed2-4634-9d42-14cd2c313941"/>
    <xsd:import namespace="d82c6e2f-2abf-493e-8e00-a4b8e4eb4a8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42a25-3ed2-4634-9d42-14cd2c3139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2c6e2f-2abf-493e-8e00-a4b8e4eb4a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689FA-07B8-48CC-A103-5BCEDE351EC5}">
  <ds:schemaRefs>
    <ds:schemaRef ds:uri="http://schemas.microsoft.com/office/2006/metadata/properties"/>
    <ds:schemaRef ds:uri="http://schemas.microsoft.com/office/infopath/2007/PartnerControls"/>
    <ds:schemaRef ds:uri="cf542a25-3ed2-4634-9d42-14cd2c313941"/>
  </ds:schemaRefs>
</ds:datastoreItem>
</file>

<file path=customXml/itemProps2.xml><?xml version="1.0" encoding="utf-8"?>
<ds:datastoreItem xmlns:ds="http://schemas.openxmlformats.org/officeDocument/2006/customXml" ds:itemID="{B2B83CC7-BE3C-4308-B374-A8B719E47B58}">
  <ds:schemaRefs>
    <ds:schemaRef ds:uri="http://schemas.microsoft.com/sharepoint/events"/>
  </ds:schemaRefs>
</ds:datastoreItem>
</file>

<file path=customXml/itemProps3.xml><?xml version="1.0" encoding="utf-8"?>
<ds:datastoreItem xmlns:ds="http://schemas.openxmlformats.org/officeDocument/2006/customXml" ds:itemID="{D690105F-E343-4F4F-BB49-03DC3D557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42a25-3ed2-4634-9d42-14cd2c313941"/>
    <ds:schemaRef ds:uri="d82c6e2f-2abf-493e-8e00-a4b8e4eb4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F3851-B0C1-4EC0-9673-902B39614549}">
  <ds:schemaRefs>
    <ds:schemaRef ds:uri="http://schemas.microsoft.com/sharepoint/v3/contenttype/forms"/>
  </ds:schemaRefs>
</ds:datastoreItem>
</file>

<file path=customXml/itemProps5.xml><?xml version="1.0" encoding="utf-8"?>
<ds:datastoreItem xmlns:ds="http://schemas.openxmlformats.org/officeDocument/2006/customXml" ds:itemID="{FE3D7760-5481-409E-B070-BCAE7527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2562</Words>
  <Characters>14607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Watts</dc:creator>
  <cp:keywords/>
  <cp:lastModifiedBy>Milli Stirling</cp:lastModifiedBy>
  <cp:revision>2</cp:revision>
  <dcterms:created xsi:type="dcterms:W3CDTF">2025-09-10T10:22:00Z</dcterms:created>
  <dcterms:modified xsi:type="dcterms:W3CDTF">2025-09-10T10:22:00Z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2015-09-07T00:00:00Z</vt:filetime>
  </property>
  <property fmtid="{D5CDD505-2E9C-101B-9397-08002B2CF9AE}" pid="3" name="Creator">
    <vt:lpwstr>Microsoft® Word 2013</vt:lpwstr>
  </property>
  <property fmtid="{D5CDD505-2E9C-101B-9397-08002B2CF9AE}" pid="4" name="LastSaved">
    <vt:filetime>2021-01-26T00:00:00Z</vt:filetime>
  </property>
  <property fmtid="{D5CDD505-2E9C-101B-9397-08002B2CF9AE}" pid="5" name="ContentTypeId">
    <vt:lpwstr>0x01010004FB4A692B15434AB9FD110BCBE2D73C</vt:lpwstr>
  </property>
  <property fmtid="{D5CDD505-2E9C-101B-9397-08002B2CF9AE}" pid="6" name="_dlc_DocIdItemGuid">
    <vt:lpwstr>85025f7e-b96a-477b-9037-388c5d283cbf</vt:lpwstr>
  </property>
  <property fmtid="{D5CDD505-2E9C-101B-9397-08002B2CF9AE}" pid="7" name="Document ID Value">
    <vt:lpwstr>6DSR3CVAPUYW-345711111-5</vt:lpwstr>
  </property>
  <property fmtid="{D5CDD505-2E9C-101B-9397-08002B2CF9AE}" pid="8" name="Order">
    <vt:r8>500</vt:r8>
  </property>
</Properties>
</file>