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1F3D" w14:textId="77777777" w:rsidR="00A43BC4" w:rsidRPr="00620914" w:rsidRDefault="00A43BC4">
      <w:pPr>
        <w:rPr>
          <w:rFonts w:ascii="Arial" w:eastAsiaTheme="majorEastAsia" w:hAnsi="Arial" w:cs="Arial"/>
          <w:sz w:val="40"/>
          <w:szCs w:val="40"/>
        </w:rPr>
      </w:pPr>
    </w:p>
    <w:p w14:paraId="0B443890" w14:textId="15520C90" w:rsidR="00C823E0" w:rsidRPr="00620914" w:rsidRDefault="00C823E0" w:rsidP="003E3BB5">
      <w:pPr>
        <w:pStyle w:val="Heading1"/>
        <w:spacing w:before="0" w:after="480"/>
        <w:rPr>
          <w:rFonts w:ascii="Arial" w:hAnsi="Arial" w:cs="Arial"/>
          <w:color w:val="auto"/>
        </w:rPr>
      </w:pPr>
      <w:r w:rsidRPr="00620914">
        <w:rPr>
          <w:rFonts w:ascii="Arial" w:hAnsi="Arial" w:cs="Arial"/>
          <w:color w:val="auto"/>
        </w:rPr>
        <w:t>Rotherham Metropolitan Borough Council</w:t>
      </w:r>
      <w:r w:rsidR="00F3133A" w:rsidRPr="00620914">
        <w:rPr>
          <w:rFonts w:ascii="Arial" w:hAnsi="Arial" w:cs="Arial"/>
          <w:color w:val="auto"/>
        </w:rPr>
        <w:t xml:space="preserve"> </w:t>
      </w:r>
    </w:p>
    <w:p w14:paraId="490C825B" w14:textId="087A758E" w:rsidR="0026126F" w:rsidRPr="00620914" w:rsidRDefault="00477C95" w:rsidP="003E3BB5">
      <w:pPr>
        <w:pStyle w:val="Heading1"/>
        <w:spacing w:before="0" w:after="480"/>
        <w:rPr>
          <w:rFonts w:ascii="Arial" w:hAnsi="Arial" w:cs="Arial"/>
          <w:color w:val="auto"/>
          <w:sz w:val="56"/>
          <w:szCs w:val="56"/>
        </w:rPr>
      </w:pPr>
      <w:r w:rsidRPr="00620914">
        <w:rPr>
          <w:rFonts w:ascii="Arial" w:hAnsi="Arial" w:cs="Arial"/>
          <w:color w:val="auto"/>
          <w:sz w:val="56"/>
          <w:szCs w:val="56"/>
        </w:rPr>
        <w:t>5-</w:t>
      </w:r>
      <w:r w:rsidR="006B4D3D" w:rsidRPr="00620914">
        <w:rPr>
          <w:rFonts w:ascii="Arial" w:hAnsi="Arial" w:cs="Arial"/>
          <w:color w:val="auto"/>
          <w:sz w:val="56"/>
          <w:szCs w:val="56"/>
        </w:rPr>
        <w:t>year housing land supply</w:t>
      </w:r>
      <w:r w:rsidR="00181CCF" w:rsidRPr="00620914">
        <w:rPr>
          <w:rFonts w:ascii="Arial" w:hAnsi="Arial" w:cs="Arial"/>
          <w:color w:val="auto"/>
          <w:sz w:val="56"/>
          <w:szCs w:val="56"/>
        </w:rPr>
        <w:t xml:space="preserve"> </w:t>
      </w:r>
    </w:p>
    <w:p w14:paraId="1B928A45" w14:textId="4AC28234" w:rsidR="000D51E9" w:rsidRPr="003E3BB5" w:rsidRDefault="003E3BB5" w:rsidP="003E3BB5">
      <w:pPr>
        <w:spacing w:after="480" w:line="240" w:lineRule="auto"/>
        <w:rPr>
          <w:rFonts w:ascii="Arial" w:hAnsi="Arial" w:cs="Arial"/>
          <w:sz w:val="40"/>
          <w:szCs w:val="40"/>
        </w:rPr>
      </w:pPr>
      <w:r w:rsidRPr="003E3BB5">
        <w:rPr>
          <w:rFonts w:ascii="Arial" w:eastAsiaTheme="majorEastAsia" w:hAnsi="Arial" w:cs="Arial"/>
          <w:sz w:val="40"/>
          <w:szCs w:val="40"/>
        </w:rPr>
        <w:t>1 April 2025 to 31 March 2030</w:t>
      </w:r>
    </w:p>
    <w:p w14:paraId="4E499AB9" w14:textId="5CFC79D0" w:rsidR="00477C95" w:rsidRPr="000D51E9" w:rsidRDefault="002C5F91">
      <w:pPr>
        <w:rPr>
          <w:rFonts w:ascii="Arial" w:hAnsi="Arial" w:cs="Arial"/>
          <w:sz w:val="24"/>
          <w:szCs w:val="24"/>
        </w:rPr>
      </w:pPr>
      <w:r>
        <w:rPr>
          <w:noProof/>
          <w:sz w:val="56"/>
          <w:szCs w:val="56"/>
        </w:rPr>
        <w:drawing>
          <wp:anchor distT="0" distB="0" distL="114300" distR="114300" simplePos="0" relativeHeight="251658240" behindDoc="1" locked="0" layoutInCell="1" allowOverlap="1" wp14:anchorId="57F001C8" wp14:editId="3226DB2F">
            <wp:simplePos x="0" y="0"/>
            <wp:positionH relativeFrom="page">
              <wp:posOffset>0</wp:posOffset>
            </wp:positionH>
            <wp:positionV relativeFrom="page">
              <wp:align>bottom</wp:align>
            </wp:positionV>
            <wp:extent cx="7560000" cy="1663200"/>
            <wp:effectExtent l="0" t="0" r="3175" b="0"/>
            <wp:wrapNone/>
            <wp:docPr id="573167090" name="Picture 1" descr="Graphic showing Rotherham Council logo and web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67090" name="Picture 1" descr="Graphic showing Rotherham Council logo and web address."/>
                    <pic:cNvPicPr/>
                  </pic:nvPicPr>
                  <pic:blipFill>
                    <a:blip r:embed="rId8">
                      <a:extLst>
                        <a:ext uri="{28A0092B-C50C-407E-A947-70E740481C1C}">
                          <a14:useLocalDpi xmlns:a14="http://schemas.microsoft.com/office/drawing/2010/main" val="0"/>
                        </a:ext>
                      </a:extLst>
                    </a:blip>
                    <a:stretch>
                      <a:fillRect/>
                    </a:stretch>
                  </pic:blipFill>
                  <pic:spPr>
                    <a:xfrm>
                      <a:off x="0" y="0"/>
                      <a:ext cx="7560000" cy="1663200"/>
                    </a:xfrm>
                    <a:prstGeom prst="rect">
                      <a:avLst/>
                    </a:prstGeom>
                  </pic:spPr>
                </pic:pic>
              </a:graphicData>
            </a:graphic>
            <wp14:sizeRelH relativeFrom="margin">
              <wp14:pctWidth>0</wp14:pctWidth>
            </wp14:sizeRelH>
            <wp14:sizeRelV relativeFrom="margin">
              <wp14:pctHeight>0</wp14:pctHeight>
            </wp14:sizeRelV>
          </wp:anchor>
        </w:drawing>
      </w:r>
      <w:r w:rsidR="00477C95" w:rsidRPr="000D51E9">
        <w:rPr>
          <w:rFonts w:ascii="Arial" w:hAnsi="Arial" w:cs="Arial"/>
          <w:sz w:val="24"/>
          <w:szCs w:val="24"/>
        </w:rPr>
        <w:br w:type="page"/>
      </w:r>
    </w:p>
    <w:p w14:paraId="6C50B7B3" w14:textId="77777777" w:rsidR="00477C95" w:rsidRPr="000D51E9" w:rsidRDefault="00477C95" w:rsidP="00A43BC4">
      <w:pPr>
        <w:keepNext/>
        <w:rPr>
          <w:rFonts w:ascii="Arial" w:hAnsi="Arial" w:cs="Arial"/>
          <w:b/>
          <w:bCs/>
          <w:sz w:val="28"/>
          <w:szCs w:val="28"/>
        </w:rPr>
      </w:pPr>
      <w:r w:rsidRPr="000D51E9">
        <w:rPr>
          <w:rFonts w:ascii="Arial" w:hAnsi="Arial" w:cs="Arial"/>
          <w:b/>
          <w:bCs/>
          <w:sz w:val="28"/>
          <w:szCs w:val="28"/>
        </w:rPr>
        <w:lastRenderedPageBreak/>
        <w:t xml:space="preserve">1. Introduction </w:t>
      </w:r>
    </w:p>
    <w:p w14:paraId="150DA4F6" w14:textId="77777777" w:rsidR="00477C95" w:rsidRPr="00A56139" w:rsidRDefault="00477C95">
      <w:pPr>
        <w:rPr>
          <w:rFonts w:ascii="Arial" w:hAnsi="Arial" w:cs="Arial"/>
          <w:sz w:val="24"/>
          <w:szCs w:val="24"/>
        </w:rPr>
      </w:pPr>
      <w:r w:rsidRPr="00A56139">
        <w:rPr>
          <w:rFonts w:ascii="Arial" w:hAnsi="Arial" w:cs="Arial"/>
          <w:sz w:val="24"/>
          <w:szCs w:val="24"/>
        </w:rPr>
        <w:t xml:space="preserve">1.1 There are two purposes to this report: </w:t>
      </w:r>
    </w:p>
    <w:p w14:paraId="4C3BB0F2" w14:textId="55E19D66" w:rsidR="00477C95" w:rsidRPr="00A56139" w:rsidRDefault="00477C95" w:rsidP="00C0033A">
      <w:pPr>
        <w:ind w:left="426"/>
        <w:rPr>
          <w:rFonts w:ascii="Arial" w:hAnsi="Arial" w:cs="Arial"/>
          <w:sz w:val="24"/>
          <w:szCs w:val="24"/>
        </w:rPr>
      </w:pPr>
      <w:r w:rsidRPr="00A56139">
        <w:rPr>
          <w:rFonts w:ascii="Arial" w:hAnsi="Arial" w:cs="Arial"/>
          <w:sz w:val="24"/>
          <w:szCs w:val="24"/>
        </w:rPr>
        <w:t>a. To set out the current annual housing requirement for Rotherham, taking account of the Government’s standard methodology for calculating local housing need (LHN)</w:t>
      </w:r>
      <w:r w:rsidRPr="00A56139">
        <w:rPr>
          <w:rStyle w:val="FootnoteReference"/>
          <w:rFonts w:ascii="Arial" w:hAnsi="Arial" w:cs="Arial"/>
          <w:sz w:val="24"/>
          <w:szCs w:val="24"/>
        </w:rPr>
        <w:footnoteReference w:id="1"/>
      </w:r>
      <w:r w:rsidRPr="00A56139">
        <w:rPr>
          <w:rFonts w:ascii="Arial" w:hAnsi="Arial" w:cs="Arial"/>
          <w:sz w:val="24"/>
          <w:szCs w:val="24"/>
        </w:rPr>
        <w:t xml:space="preserve">, and therefore to calculate the 5-year housing land requirement. </w:t>
      </w:r>
    </w:p>
    <w:p w14:paraId="1FDAF40B" w14:textId="07D1F85E" w:rsidR="00477C95" w:rsidRPr="00A56139" w:rsidRDefault="00477C95" w:rsidP="00C0033A">
      <w:pPr>
        <w:ind w:left="426"/>
        <w:rPr>
          <w:rFonts w:ascii="Arial" w:hAnsi="Arial" w:cs="Arial"/>
          <w:sz w:val="24"/>
          <w:szCs w:val="24"/>
        </w:rPr>
      </w:pPr>
      <w:r w:rsidRPr="00A56139">
        <w:rPr>
          <w:rFonts w:ascii="Arial" w:hAnsi="Arial" w:cs="Arial"/>
          <w:sz w:val="24"/>
          <w:szCs w:val="24"/>
        </w:rPr>
        <w:t xml:space="preserve">b. To identify the sources of housing land that contribute towards the deliverable housing land supply and confirm Rotherham’s current 5-year housing land position </w:t>
      </w:r>
      <w:proofErr w:type="gramStart"/>
      <w:r w:rsidRPr="00A56139">
        <w:rPr>
          <w:rFonts w:ascii="Arial" w:hAnsi="Arial" w:cs="Arial"/>
          <w:sz w:val="24"/>
          <w:szCs w:val="24"/>
        </w:rPr>
        <w:t>at</w:t>
      </w:r>
      <w:proofErr w:type="gramEnd"/>
      <w:r w:rsidRPr="00A56139">
        <w:rPr>
          <w:rFonts w:ascii="Arial" w:hAnsi="Arial" w:cs="Arial"/>
          <w:sz w:val="24"/>
          <w:szCs w:val="24"/>
        </w:rPr>
        <w:t xml:space="preserve"> 1 April 2025. Evidence to support the assessment of deliverability is </w:t>
      </w:r>
      <w:r w:rsidR="00A400C5" w:rsidRPr="00A56139">
        <w:rPr>
          <w:rFonts w:ascii="Arial" w:hAnsi="Arial" w:cs="Arial"/>
          <w:sz w:val="24"/>
          <w:szCs w:val="24"/>
        </w:rPr>
        <w:t xml:space="preserve">available </w:t>
      </w:r>
      <w:r w:rsidRPr="00A56139">
        <w:rPr>
          <w:rFonts w:ascii="Arial" w:hAnsi="Arial" w:cs="Arial"/>
          <w:sz w:val="24"/>
          <w:szCs w:val="24"/>
        </w:rPr>
        <w:t xml:space="preserve">in the </w:t>
      </w:r>
      <w:r w:rsidR="00A400C5" w:rsidRPr="00A56139">
        <w:rPr>
          <w:rFonts w:ascii="Arial" w:hAnsi="Arial" w:cs="Arial"/>
          <w:sz w:val="24"/>
          <w:szCs w:val="24"/>
        </w:rPr>
        <w:t>data tables supporting this report</w:t>
      </w:r>
      <w:r w:rsidRPr="00A56139">
        <w:rPr>
          <w:rFonts w:ascii="Arial" w:hAnsi="Arial" w:cs="Arial"/>
          <w:sz w:val="24"/>
          <w:szCs w:val="24"/>
        </w:rPr>
        <w:t xml:space="preserve">. </w:t>
      </w:r>
    </w:p>
    <w:p w14:paraId="351C77E2" w14:textId="04EF91C9" w:rsidR="00477C95" w:rsidRPr="00A56139" w:rsidRDefault="00477C95">
      <w:pPr>
        <w:rPr>
          <w:rFonts w:ascii="Arial" w:hAnsi="Arial" w:cs="Arial"/>
          <w:sz w:val="24"/>
          <w:szCs w:val="24"/>
        </w:rPr>
      </w:pPr>
      <w:r w:rsidRPr="00A56139">
        <w:rPr>
          <w:rFonts w:ascii="Arial" w:hAnsi="Arial" w:cs="Arial"/>
          <w:sz w:val="24"/>
          <w:szCs w:val="24"/>
        </w:rPr>
        <w:t xml:space="preserve">1.2 The 5-year period covered by this report runs from 1 April 2025 to 31 March </w:t>
      </w:r>
      <w:r w:rsidR="000D51E9">
        <w:rPr>
          <w:rFonts w:ascii="Arial" w:hAnsi="Arial" w:cs="Arial"/>
          <w:sz w:val="24"/>
          <w:szCs w:val="24"/>
        </w:rPr>
        <w:t>2030</w:t>
      </w:r>
      <w:r w:rsidRPr="00A56139">
        <w:rPr>
          <w:rFonts w:ascii="Arial" w:hAnsi="Arial" w:cs="Arial"/>
          <w:sz w:val="24"/>
          <w:szCs w:val="24"/>
        </w:rPr>
        <w:t xml:space="preserve"> inclusive.</w:t>
      </w:r>
    </w:p>
    <w:p w14:paraId="448DA7A4" w14:textId="5B522465" w:rsidR="00B327A6" w:rsidRPr="000D51E9" w:rsidRDefault="00B327A6" w:rsidP="00A43BC4">
      <w:pPr>
        <w:keepNext/>
        <w:rPr>
          <w:rFonts w:ascii="Arial" w:hAnsi="Arial" w:cs="Arial"/>
          <w:b/>
          <w:bCs/>
          <w:sz w:val="28"/>
          <w:szCs w:val="28"/>
        </w:rPr>
      </w:pPr>
      <w:r w:rsidRPr="000D51E9">
        <w:rPr>
          <w:rFonts w:ascii="Arial" w:hAnsi="Arial" w:cs="Arial"/>
          <w:b/>
          <w:bCs/>
          <w:sz w:val="28"/>
          <w:szCs w:val="28"/>
        </w:rPr>
        <w:t xml:space="preserve">2. Housing </w:t>
      </w:r>
      <w:r w:rsidR="00C823E0" w:rsidRPr="000D51E9">
        <w:rPr>
          <w:rFonts w:ascii="Arial" w:hAnsi="Arial" w:cs="Arial"/>
          <w:b/>
          <w:bCs/>
          <w:sz w:val="28"/>
          <w:szCs w:val="28"/>
        </w:rPr>
        <w:t>r</w:t>
      </w:r>
      <w:r w:rsidRPr="000D51E9">
        <w:rPr>
          <w:rFonts w:ascii="Arial" w:hAnsi="Arial" w:cs="Arial"/>
          <w:b/>
          <w:bCs/>
          <w:sz w:val="28"/>
          <w:szCs w:val="28"/>
        </w:rPr>
        <w:t xml:space="preserve">equirement </w:t>
      </w:r>
    </w:p>
    <w:p w14:paraId="03A9321A" w14:textId="7424F9C7" w:rsidR="00B327A6" w:rsidRPr="00A56139" w:rsidRDefault="00B327A6">
      <w:pPr>
        <w:rPr>
          <w:rFonts w:ascii="Arial" w:hAnsi="Arial" w:cs="Arial"/>
          <w:sz w:val="24"/>
          <w:szCs w:val="24"/>
        </w:rPr>
      </w:pPr>
      <w:r w:rsidRPr="00A56139">
        <w:rPr>
          <w:rFonts w:ascii="Arial" w:hAnsi="Arial" w:cs="Arial"/>
          <w:sz w:val="24"/>
          <w:szCs w:val="24"/>
        </w:rPr>
        <w:t xml:space="preserve">2.1 A 5-year housing land supply </w:t>
      </w:r>
      <w:r w:rsidR="00525313" w:rsidRPr="00A56139">
        <w:rPr>
          <w:rFonts w:ascii="Arial" w:hAnsi="Arial" w:cs="Arial"/>
          <w:sz w:val="24"/>
          <w:szCs w:val="24"/>
        </w:rPr>
        <w:t>identifies</w:t>
      </w:r>
      <w:r w:rsidRPr="00A56139">
        <w:rPr>
          <w:rFonts w:ascii="Arial" w:hAnsi="Arial" w:cs="Arial"/>
          <w:sz w:val="24"/>
          <w:szCs w:val="24"/>
        </w:rPr>
        <w:t xml:space="preserve"> a supply of specific, deliverable sites sufficient to provide 5 years’ worth of housing in addition to an appropriate buffer (NPPF, paragraph 7</w:t>
      </w:r>
      <w:r w:rsidR="0097729B" w:rsidRPr="00A56139">
        <w:rPr>
          <w:rFonts w:ascii="Arial" w:hAnsi="Arial" w:cs="Arial"/>
          <w:sz w:val="24"/>
          <w:szCs w:val="24"/>
        </w:rPr>
        <w:t>8</w:t>
      </w:r>
      <w:r w:rsidRPr="00A56139">
        <w:rPr>
          <w:rFonts w:ascii="Arial" w:hAnsi="Arial" w:cs="Arial"/>
          <w:sz w:val="24"/>
          <w:szCs w:val="24"/>
        </w:rPr>
        <w:t>)</w:t>
      </w:r>
      <w:r w:rsidRPr="00A56139">
        <w:rPr>
          <w:rStyle w:val="FootnoteReference"/>
          <w:rFonts w:ascii="Arial" w:hAnsi="Arial" w:cs="Arial"/>
          <w:sz w:val="24"/>
          <w:szCs w:val="24"/>
        </w:rPr>
        <w:footnoteReference w:id="2"/>
      </w:r>
      <w:r w:rsidRPr="00A56139">
        <w:rPr>
          <w:rFonts w:ascii="Arial" w:hAnsi="Arial" w:cs="Arial"/>
          <w:sz w:val="24"/>
          <w:szCs w:val="24"/>
        </w:rPr>
        <w:t xml:space="preserve">. The baseline against which the deliverable supply of housing land is assessed is the housing requirement, using the Standard Method. </w:t>
      </w:r>
    </w:p>
    <w:p w14:paraId="49B03CAE" w14:textId="305DFF7D" w:rsidR="00477C95" w:rsidRPr="00A56139" w:rsidRDefault="00B327A6">
      <w:pPr>
        <w:rPr>
          <w:rFonts w:ascii="Arial" w:hAnsi="Arial" w:cs="Arial"/>
          <w:sz w:val="24"/>
          <w:szCs w:val="24"/>
        </w:rPr>
      </w:pPr>
      <w:r w:rsidRPr="00A56139">
        <w:rPr>
          <w:rFonts w:ascii="Arial" w:hAnsi="Arial" w:cs="Arial"/>
          <w:sz w:val="24"/>
          <w:szCs w:val="24"/>
        </w:rPr>
        <w:t>2.2 Since 2018, the minimum number of homes needed in each local authority area must be calculated using the Government’s standard method in national planning guidance</w:t>
      </w:r>
      <w:r w:rsidR="00F9088A" w:rsidRPr="00A56139">
        <w:rPr>
          <w:rStyle w:val="FootnoteReference"/>
          <w:rFonts w:ascii="Arial" w:hAnsi="Arial" w:cs="Arial"/>
          <w:sz w:val="24"/>
          <w:szCs w:val="24"/>
        </w:rPr>
        <w:footnoteReference w:id="3"/>
      </w:r>
      <w:r w:rsidRPr="00A56139">
        <w:rPr>
          <w:rFonts w:ascii="Arial" w:hAnsi="Arial" w:cs="Arial"/>
          <w:sz w:val="24"/>
          <w:szCs w:val="24"/>
        </w:rPr>
        <w:t>. This is the starting point for setting the housing requirement in each local authority’s local plan. The National Planning Policy Framework (NPPF) (footnote 39 in relation to paragraph 78) says that where the strategic policies in the local plan are more than 5 years old (unless they have been reviewed and found to not require updating), the local housing need figure should be used to calculate the housing requirement.</w:t>
      </w:r>
    </w:p>
    <w:p w14:paraId="31C3BE31" w14:textId="0D7FC7E5" w:rsidR="0097729B" w:rsidRPr="00A56139" w:rsidRDefault="0097729B">
      <w:pPr>
        <w:rPr>
          <w:rFonts w:ascii="Arial" w:hAnsi="Arial" w:cs="Arial"/>
          <w:sz w:val="24"/>
          <w:szCs w:val="24"/>
        </w:rPr>
      </w:pPr>
      <w:r w:rsidRPr="00A56139">
        <w:rPr>
          <w:rFonts w:ascii="Arial" w:hAnsi="Arial" w:cs="Arial"/>
          <w:sz w:val="24"/>
          <w:szCs w:val="24"/>
        </w:rPr>
        <w:t>2.3 For Rotherham the Local Housing Need figure in April 2025 is 1,111 dwellings per year.</w:t>
      </w:r>
      <w:r w:rsidR="00C823E0" w:rsidRPr="00A56139">
        <w:rPr>
          <w:rFonts w:ascii="Arial" w:hAnsi="Arial" w:cs="Arial"/>
          <w:sz w:val="24"/>
          <w:szCs w:val="24"/>
        </w:rPr>
        <w:t xml:space="preserve"> This is the standard method figure of 1,080 published by Government in December 2024, as modified by the latest ONS affordability ratio figure for Rotherham</w:t>
      </w:r>
      <w:r w:rsidR="00C823E0" w:rsidRPr="00A56139">
        <w:rPr>
          <w:rStyle w:val="FootnoteReference"/>
          <w:rFonts w:ascii="Arial" w:hAnsi="Arial" w:cs="Arial"/>
          <w:sz w:val="24"/>
          <w:szCs w:val="24"/>
        </w:rPr>
        <w:footnoteReference w:id="4"/>
      </w:r>
      <w:r w:rsidR="00C823E0" w:rsidRPr="00A56139">
        <w:rPr>
          <w:rFonts w:ascii="Arial" w:hAnsi="Arial" w:cs="Arial"/>
          <w:sz w:val="24"/>
          <w:szCs w:val="24"/>
        </w:rPr>
        <w:t xml:space="preserve">. </w:t>
      </w:r>
    </w:p>
    <w:p w14:paraId="4E978834" w14:textId="77777777" w:rsidR="00A56139" w:rsidRDefault="00A56139">
      <w:pPr>
        <w:rPr>
          <w:rFonts w:ascii="Arial" w:hAnsi="Arial" w:cs="Arial"/>
          <w:b/>
          <w:bCs/>
          <w:sz w:val="24"/>
          <w:szCs w:val="24"/>
        </w:rPr>
      </w:pPr>
      <w:r>
        <w:rPr>
          <w:rFonts w:ascii="Arial" w:hAnsi="Arial" w:cs="Arial"/>
          <w:b/>
          <w:bCs/>
          <w:sz w:val="24"/>
          <w:szCs w:val="24"/>
        </w:rPr>
        <w:br w:type="page"/>
      </w:r>
    </w:p>
    <w:p w14:paraId="07648AC6" w14:textId="1E5F71A5" w:rsidR="0097729B" w:rsidRPr="000D51E9" w:rsidRDefault="0097729B">
      <w:pPr>
        <w:rPr>
          <w:rFonts w:ascii="Arial" w:hAnsi="Arial" w:cs="Arial"/>
          <w:sz w:val="24"/>
          <w:szCs w:val="24"/>
          <w:u w:val="single"/>
        </w:rPr>
      </w:pPr>
      <w:r w:rsidRPr="000D51E9">
        <w:rPr>
          <w:rFonts w:ascii="Arial" w:hAnsi="Arial" w:cs="Arial"/>
          <w:sz w:val="24"/>
          <w:szCs w:val="24"/>
          <w:u w:val="single"/>
        </w:rPr>
        <w:lastRenderedPageBreak/>
        <w:t xml:space="preserve">Appropriate buffer </w:t>
      </w:r>
    </w:p>
    <w:p w14:paraId="4A6FC581" w14:textId="4E1F2485" w:rsidR="0097729B" w:rsidRPr="00A56139" w:rsidRDefault="0097729B">
      <w:pPr>
        <w:rPr>
          <w:rFonts w:ascii="Arial" w:hAnsi="Arial" w:cs="Arial"/>
          <w:sz w:val="24"/>
          <w:szCs w:val="24"/>
        </w:rPr>
      </w:pPr>
      <w:r w:rsidRPr="00A56139">
        <w:rPr>
          <w:rFonts w:ascii="Arial" w:hAnsi="Arial" w:cs="Arial"/>
          <w:sz w:val="24"/>
          <w:szCs w:val="24"/>
        </w:rPr>
        <w:t>2.4 Paragraph 74 of the NPPF states that the supply of deliverable sites should also include a buffer of 5% to ensure choice and competition in the market for land. There are certain circumstances in which local authorities would be required to add a higher buffer, as noted in paragraph 2.5 below.</w:t>
      </w:r>
    </w:p>
    <w:p w14:paraId="5B908A13" w14:textId="75B88D47" w:rsidR="00F9088A" w:rsidRPr="00A56139" w:rsidRDefault="0097729B">
      <w:pPr>
        <w:rPr>
          <w:rFonts w:ascii="Arial" w:hAnsi="Arial" w:cs="Arial"/>
          <w:sz w:val="24"/>
          <w:szCs w:val="24"/>
        </w:rPr>
      </w:pPr>
      <w:r w:rsidRPr="00A56139">
        <w:rPr>
          <w:rFonts w:ascii="Arial" w:hAnsi="Arial" w:cs="Arial"/>
          <w:sz w:val="24"/>
          <w:szCs w:val="24"/>
        </w:rPr>
        <w:t>2.5 The Housing Delivery Test (HDT)</w:t>
      </w:r>
      <w:r w:rsidRPr="00A56139">
        <w:rPr>
          <w:rStyle w:val="FootnoteReference"/>
          <w:rFonts w:ascii="Arial" w:hAnsi="Arial" w:cs="Arial"/>
          <w:sz w:val="24"/>
          <w:szCs w:val="24"/>
        </w:rPr>
        <w:footnoteReference w:id="5"/>
      </w:r>
      <w:r w:rsidRPr="00A56139">
        <w:rPr>
          <w:rFonts w:ascii="Arial" w:hAnsi="Arial" w:cs="Arial"/>
          <w:sz w:val="24"/>
          <w:szCs w:val="24"/>
        </w:rPr>
        <w:t xml:space="preserve"> provides a measure, calculated over a 3-year rolling period, of net housing delivery compared to the housing requirement. Where delivery falls below the requirement, the NPPF prescribes certain measures including publication of an action plan (below 95%) (paragraph 7</w:t>
      </w:r>
      <w:r w:rsidR="00F9088A" w:rsidRPr="00A56139">
        <w:rPr>
          <w:rFonts w:ascii="Arial" w:hAnsi="Arial" w:cs="Arial"/>
          <w:sz w:val="24"/>
          <w:szCs w:val="24"/>
        </w:rPr>
        <w:t>9</w:t>
      </w:r>
      <w:r w:rsidRPr="00A56139">
        <w:rPr>
          <w:rFonts w:ascii="Arial" w:hAnsi="Arial" w:cs="Arial"/>
          <w:sz w:val="24"/>
          <w:szCs w:val="24"/>
        </w:rPr>
        <w:t xml:space="preserve">) and use of a 20% buffer (below 85%). </w:t>
      </w:r>
    </w:p>
    <w:p w14:paraId="287E3020" w14:textId="4410E503" w:rsidR="0097729B" w:rsidRPr="00A56139" w:rsidRDefault="00F9088A">
      <w:pPr>
        <w:rPr>
          <w:rFonts w:ascii="Arial" w:hAnsi="Arial" w:cs="Arial"/>
          <w:sz w:val="24"/>
          <w:szCs w:val="24"/>
        </w:rPr>
      </w:pPr>
      <w:r w:rsidRPr="00A56139">
        <w:rPr>
          <w:rFonts w:ascii="Arial" w:hAnsi="Arial" w:cs="Arial"/>
          <w:sz w:val="24"/>
          <w:szCs w:val="24"/>
        </w:rPr>
        <w:t xml:space="preserve">2.6 </w:t>
      </w:r>
      <w:r w:rsidR="0097729B" w:rsidRPr="00A56139">
        <w:rPr>
          <w:rFonts w:ascii="Arial" w:hAnsi="Arial" w:cs="Arial"/>
          <w:sz w:val="24"/>
          <w:szCs w:val="24"/>
        </w:rPr>
        <w:t>The most recent (202</w:t>
      </w:r>
      <w:r w:rsidRPr="00A56139">
        <w:rPr>
          <w:rFonts w:ascii="Arial" w:hAnsi="Arial" w:cs="Arial"/>
          <w:sz w:val="24"/>
          <w:szCs w:val="24"/>
        </w:rPr>
        <w:t>3</w:t>
      </w:r>
      <w:r w:rsidR="0097729B" w:rsidRPr="00A56139">
        <w:rPr>
          <w:rFonts w:ascii="Arial" w:hAnsi="Arial" w:cs="Arial"/>
          <w:sz w:val="24"/>
          <w:szCs w:val="24"/>
        </w:rPr>
        <w:t xml:space="preserve">) Housing Delivery Test results were published in </w:t>
      </w:r>
      <w:r w:rsidRPr="00A56139">
        <w:rPr>
          <w:rFonts w:ascii="Arial" w:hAnsi="Arial" w:cs="Arial"/>
          <w:sz w:val="24"/>
          <w:szCs w:val="24"/>
        </w:rPr>
        <w:t>December 2024</w:t>
      </w:r>
      <w:r w:rsidRPr="00A56139">
        <w:rPr>
          <w:rStyle w:val="FootnoteReference"/>
          <w:rFonts w:ascii="Arial" w:hAnsi="Arial" w:cs="Arial"/>
          <w:sz w:val="24"/>
          <w:szCs w:val="24"/>
        </w:rPr>
        <w:footnoteReference w:id="6"/>
      </w:r>
      <w:r w:rsidR="0097729B" w:rsidRPr="00A56139">
        <w:rPr>
          <w:rFonts w:ascii="Arial" w:hAnsi="Arial" w:cs="Arial"/>
          <w:sz w:val="24"/>
          <w:szCs w:val="24"/>
        </w:rPr>
        <w:t xml:space="preserve">; these showed </w:t>
      </w:r>
      <w:r w:rsidRPr="00A56139">
        <w:rPr>
          <w:rFonts w:ascii="Arial" w:hAnsi="Arial" w:cs="Arial"/>
          <w:sz w:val="24"/>
          <w:szCs w:val="24"/>
        </w:rPr>
        <w:t>Rotherham’s</w:t>
      </w:r>
      <w:r w:rsidR="0097729B" w:rsidRPr="00A56139">
        <w:rPr>
          <w:rFonts w:ascii="Arial" w:hAnsi="Arial" w:cs="Arial"/>
          <w:sz w:val="24"/>
          <w:szCs w:val="24"/>
        </w:rPr>
        <w:t xml:space="preserve"> delivery was 17</w:t>
      </w:r>
      <w:r w:rsidRPr="00A56139">
        <w:rPr>
          <w:rFonts w:ascii="Arial" w:hAnsi="Arial" w:cs="Arial"/>
          <w:sz w:val="24"/>
          <w:szCs w:val="24"/>
        </w:rPr>
        <w:t>3</w:t>
      </w:r>
      <w:r w:rsidR="0097729B" w:rsidRPr="00A56139">
        <w:rPr>
          <w:rFonts w:ascii="Arial" w:hAnsi="Arial" w:cs="Arial"/>
          <w:sz w:val="24"/>
          <w:szCs w:val="24"/>
        </w:rPr>
        <w:t xml:space="preserve">%. </w:t>
      </w:r>
      <w:r w:rsidRPr="00A56139">
        <w:rPr>
          <w:rFonts w:ascii="Arial" w:hAnsi="Arial" w:cs="Arial"/>
          <w:sz w:val="24"/>
          <w:szCs w:val="24"/>
        </w:rPr>
        <w:t>At that time t</w:t>
      </w:r>
      <w:r w:rsidR="0097729B" w:rsidRPr="00A56139">
        <w:rPr>
          <w:rFonts w:ascii="Arial" w:hAnsi="Arial" w:cs="Arial"/>
          <w:sz w:val="24"/>
          <w:szCs w:val="24"/>
        </w:rPr>
        <w:t>his provide</w:t>
      </w:r>
      <w:r w:rsidRPr="00A56139">
        <w:rPr>
          <w:rFonts w:ascii="Arial" w:hAnsi="Arial" w:cs="Arial"/>
          <w:sz w:val="24"/>
          <w:szCs w:val="24"/>
        </w:rPr>
        <w:t>d</w:t>
      </w:r>
      <w:r w:rsidR="0097729B" w:rsidRPr="00A56139">
        <w:rPr>
          <w:rFonts w:ascii="Arial" w:hAnsi="Arial" w:cs="Arial"/>
          <w:sz w:val="24"/>
          <w:szCs w:val="24"/>
        </w:rPr>
        <w:t xml:space="preserve"> evidence that there </w:t>
      </w:r>
      <w:r w:rsidRPr="00A56139">
        <w:rPr>
          <w:rFonts w:ascii="Arial" w:hAnsi="Arial" w:cs="Arial"/>
          <w:sz w:val="24"/>
          <w:szCs w:val="24"/>
        </w:rPr>
        <w:t>was</w:t>
      </w:r>
      <w:r w:rsidR="0097729B" w:rsidRPr="00A56139">
        <w:rPr>
          <w:rFonts w:ascii="Arial" w:hAnsi="Arial" w:cs="Arial"/>
          <w:sz w:val="24"/>
          <w:szCs w:val="24"/>
        </w:rPr>
        <w:t xml:space="preserve"> no significant under-delivery in </w:t>
      </w:r>
      <w:r w:rsidRPr="00A56139">
        <w:rPr>
          <w:rFonts w:ascii="Arial" w:hAnsi="Arial" w:cs="Arial"/>
          <w:sz w:val="24"/>
          <w:szCs w:val="24"/>
        </w:rPr>
        <w:t>Rotherham</w:t>
      </w:r>
      <w:r w:rsidR="0097729B" w:rsidRPr="00A56139">
        <w:rPr>
          <w:rFonts w:ascii="Arial" w:hAnsi="Arial" w:cs="Arial"/>
          <w:sz w:val="24"/>
          <w:szCs w:val="24"/>
        </w:rPr>
        <w:t xml:space="preserve"> and therefore the 5% buffer to ensure choice and competition on top of the 5-year housing land requirement applies.</w:t>
      </w:r>
    </w:p>
    <w:p w14:paraId="7F7229A7" w14:textId="4E35F8C5" w:rsidR="005740B9" w:rsidRPr="00A56139" w:rsidRDefault="005740B9">
      <w:pPr>
        <w:rPr>
          <w:rFonts w:ascii="Arial" w:hAnsi="Arial" w:cs="Arial"/>
          <w:sz w:val="24"/>
          <w:szCs w:val="24"/>
        </w:rPr>
      </w:pPr>
      <w:r w:rsidRPr="00A56139">
        <w:rPr>
          <w:rFonts w:ascii="Arial" w:hAnsi="Arial" w:cs="Arial"/>
          <w:sz w:val="24"/>
          <w:szCs w:val="24"/>
        </w:rPr>
        <w:t>2.</w:t>
      </w:r>
      <w:r w:rsidR="00525313" w:rsidRPr="00A56139">
        <w:rPr>
          <w:rFonts w:ascii="Arial" w:hAnsi="Arial" w:cs="Arial"/>
          <w:sz w:val="24"/>
          <w:szCs w:val="24"/>
        </w:rPr>
        <w:t>7</w:t>
      </w:r>
      <w:r w:rsidRPr="00A56139">
        <w:rPr>
          <w:rFonts w:ascii="Arial" w:hAnsi="Arial" w:cs="Arial"/>
          <w:sz w:val="24"/>
          <w:szCs w:val="24"/>
        </w:rPr>
        <w:t xml:space="preserve"> Rotherham’s net housing requirement for the 5-year period 2025/26 to 2029/30 is therefore </w:t>
      </w:r>
      <w:r w:rsidR="00181CCF" w:rsidRPr="00A56139">
        <w:rPr>
          <w:rFonts w:ascii="Arial" w:hAnsi="Arial" w:cs="Arial"/>
          <w:sz w:val="24"/>
          <w:szCs w:val="24"/>
        </w:rPr>
        <w:t xml:space="preserve">the </w:t>
      </w:r>
      <w:r w:rsidR="00525313" w:rsidRPr="00A56139">
        <w:rPr>
          <w:rFonts w:ascii="Arial" w:hAnsi="Arial" w:cs="Arial"/>
          <w:sz w:val="24"/>
          <w:szCs w:val="24"/>
        </w:rPr>
        <w:t>c</w:t>
      </w:r>
      <w:r w:rsidRPr="00A56139">
        <w:rPr>
          <w:rFonts w:ascii="Arial" w:hAnsi="Arial" w:cs="Arial"/>
          <w:sz w:val="24"/>
          <w:szCs w:val="24"/>
        </w:rPr>
        <w:t>urrent local housing need figure</w:t>
      </w:r>
      <w:r w:rsidR="000D51E9">
        <w:rPr>
          <w:rFonts w:ascii="Arial" w:hAnsi="Arial" w:cs="Arial"/>
          <w:sz w:val="24"/>
          <w:szCs w:val="24"/>
        </w:rPr>
        <w:t xml:space="preserve"> of</w:t>
      </w:r>
      <w:r w:rsidRPr="00A56139">
        <w:rPr>
          <w:rFonts w:ascii="Arial" w:hAnsi="Arial" w:cs="Arial"/>
          <w:sz w:val="24"/>
          <w:szCs w:val="24"/>
        </w:rPr>
        <w:t xml:space="preserve"> </w:t>
      </w:r>
      <w:r w:rsidR="00525313" w:rsidRPr="00A56139">
        <w:rPr>
          <w:rFonts w:ascii="Arial" w:hAnsi="Arial" w:cs="Arial"/>
          <w:sz w:val="24"/>
          <w:szCs w:val="24"/>
        </w:rPr>
        <w:t>1,111 per year</w:t>
      </w:r>
      <w:r w:rsidR="00D946A9" w:rsidRPr="00A56139">
        <w:rPr>
          <w:rFonts w:ascii="Arial" w:hAnsi="Arial" w:cs="Arial"/>
          <w:sz w:val="24"/>
          <w:szCs w:val="24"/>
        </w:rPr>
        <w:t xml:space="preserve"> x 5 years</w:t>
      </w:r>
      <w:r w:rsidR="00525313" w:rsidRPr="00A56139">
        <w:rPr>
          <w:rFonts w:ascii="Arial" w:hAnsi="Arial" w:cs="Arial"/>
          <w:sz w:val="24"/>
          <w:szCs w:val="24"/>
        </w:rPr>
        <w:t>, p</w:t>
      </w:r>
      <w:r w:rsidRPr="00A56139">
        <w:rPr>
          <w:rFonts w:ascii="Arial" w:hAnsi="Arial" w:cs="Arial"/>
          <w:sz w:val="24"/>
          <w:szCs w:val="24"/>
        </w:rPr>
        <w:t xml:space="preserve">lus </w:t>
      </w:r>
      <w:r w:rsidR="00181CCF" w:rsidRPr="00A56139">
        <w:rPr>
          <w:rFonts w:ascii="Arial" w:hAnsi="Arial" w:cs="Arial"/>
          <w:sz w:val="24"/>
          <w:szCs w:val="24"/>
        </w:rPr>
        <w:t xml:space="preserve">a </w:t>
      </w:r>
      <w:r w:rsidRPr="00A56139">
        <w:rPr>
          <w:rFonts w:ascii="Arial" w:hAnsi="Arial" w:cs="Arial"/>
          <w:sz w:val="24"/>
          <w:szCs w:val="24"/>
        </w:rPr>
        <w:t>5% buffer to ensure competition and choice</w:t>
      </w:r>
      <w:r w:rsidR="00D946A9" w:rsidRPr="00A56139">
        <w:rPr>
          <w:rFonts w:ascii="Arial" w:hAnsi="Arial" w:cs="Arial"/>
          <w:sz w:val="24"/>
          <w:szCs w:val="24"/>
        </w:rPr>
        <w:t>.</w:t>
      </w:r>
      <w:r w:rsidR="00525313" w:rsidRPr="00A56139">
        <w:rPr>
          <w:rFonts w:ascii="Arial" w:hAnsi="Arial" w:cs="Arial"/>
          <w:sz w:val="24"/>
          <w:szCs w:val="24"/>
        </w:rPr>
        <w:t xml:space="preserve"> </w:t>
      </w:r>
      <w:r w:rsidRPr="00A56139">
        <w:rPr>
          <w:rFonts w:ascii="Arial" w:hAnsi="Arial" w:cs="Arial"/>
          <w:sz w:val="24"/>
          <w:szCs w:val="24"/>
        </w:rPr>
        <w:t xml:space="preserve"> </w:t>
      </w:r>
      <w:r w:rsidR="00181CCF" w:rsidRPr="00A56139">
        <w:rPr>
          <w:rFonts w:ascii="Arial" w:hAnsi="Arial" w:cs="Arial"/>
          <w:sz w:val="24"/>
          <w:szCs w:val="24"/>
        </w:rPr>
        <w:t>The t</w:t>
      </w:r>
      <w:r w:rsidRPr="00A56139">
        <w:rPr>
          <w:rFonts w:ascii="Arial" w:hAnsi="Arial" w:cs="Arial"/>
          <w:sz w:val="24"/>
          <w:szCs w:val="24"/>
        </w:rPr>
        <w:t xml:space="preserve">otal net 5-year requirement </w:t>
      </w:r>
      <w:r w:rsidR="00525313" w:rsidRPr="00A56139">
        <w:rPr>
          <w:rFonts w:ascii="Arial" w:hAnsi="Arial" w:cs="Arial"/>
          <w:sz w:val="24"/>
          <w:szCs w:val="24"/>
        </w:rPr>
        <w:t>is 5,833.</w:t>
      </w:r>
    </w:p>
    <w:tbl>
      <w:tblPr>
        <w:tblStyle w:val="TableGrid"/>
        <w:tblW w:w="0" w:type="auto"/>
        <w:jc w:val="right"/>
        <w:tblCellMar>
          <w:top w:w="57" w:type="dxa"/>
          <w:bottom w:w="57" w:type="dxa"/>
        </w:tblCellMar>
        <w:tblLook w:val="04A0" w:firstRow="1" w:lastRow="0" w:firstColumn="1" w:lastColumn="0" w:noHBand="0" w:noVBand="1"/>
      </w:tblPr>
      <w:tblGrid>
        <w:gridCol w:w="6941"/>
        <w:gridCol w:w="2075"/>
      </w:tblGrid>
      <w:tr w:rsidR="00C823E0" w:rsidRPr="00620914" w14:paraId="0EE68D13" w14:textId="77777777" w:rsidTr="00844824">
        <w:trPr>
          <w:jc w:val="right"/>
        </w:trPr>
        <w:tc>
          <w:tcPr>
            <w:tcW w:w="6941" w:type="dxa"/>
          </w:tcPr>
          <w:p w14:paraId="4BDFF717" w14:textId="62F86B83" w:rsidR="00C12300" w:rsidRPr="00620914" w:rsidRDefault="00C12300">
            <w:pPr>
              <w:rPr>
                <w:rFonts w:ascii="Arial" w:hAnsi="Arial" w:cs="Arial"/>
                <w:sz w:val="22"/>
                <w:szCs w:val="22"/>
              </w:rPr>
            </w:pPr>
            <w:r w:rsidRPr="00620914">
              <w:rPr>
                <w:rFonts w:ascii="Arial" w:hAnsi="Arial" w:cs="Arial"/>
                <w:sz w:val="22"/>
                <w:szCs w:val="22"/>
              </w:rPr>
              <w:t xml:space="preserve">Current </w:t>
            </w:r>
            <w:r w:rsidR="00C0033A" w:rsidRPr="00620914">
              <w:rPr>
                <w:rFonts w:ascii="Arial" w:hAnsi="Arial" w:cs="Arial"/>
                <w:sz w:val="22"/>
                <w:szCs w:val="22"/>
              </w:rPr>
              <w:t>l</w:t>
            </w:r>
            <w:r w:rsidRPr="00620914">
              <w:rPr>
                <w:rFonts w:ascii="Arial" w:hAnsi="Arial" w:cs="Arial"/>
                <w:sz w:val="22"/>
                <w:szCs w:val="22"/>
              </w:rPr>
              <w:t xml:space="preserve">ocal </w:t>
            </w:r>
            <w:r w:rsidR="00C0033A" w:rsidRPr="00620914">
              <w:rPr>
                <w:rFonts w:ascii="Arial" w:hAnsi="Arial" w:cs="Arial"/>
                <w:sz w:val="22"/>
                <w:szCs w:val="22"/>
              </w:rPr>
              <w:t>h</w:t>
            </w:r>
            <w:r w:rsidRPr="00620914">
              <w:rPr>
                <w:rFonts w:ascii="Arial" w:hAnsi="Arial" w:cs="Arial"/>
                <w:sz w:val="22"/>
                <w:szCs w:val="22"/>
              </w:rPr>
              <w:t xml:space="preserve">ousing </w:t>
            </w:r>
            <w:r w:rsidR="00C0033A" w:rsidRPr="00620914">
              <w:rPr>
                <w:rFonts w:ascii="Arial" w:hAnsi="Arial" w:cs="Arial"/>
                <w:sz w:val="22"/>
                <w:szCs w:val="22"/>
              </w:rPr>
              <w:t>n</w:t>
            </w:r>
            <w:r w:rsidRPr="00620914">
              <w:rPr>
                <w:rFonts w:ascii="Arial" w:hAnsi="Arial" w:cs="Arial"/>
                <w:sz w:val="22"/>
                <w:szCs w:val="22"/>
              </w:rPr>
              <w:t xml:space="preserve">eed </w:t>
            </w:r>
            <w:r w:rsidR="00C0033A" w:rsidRPr="00620914">
              <w:rPr>
                <w:rFonts w:ascii="Arial" w:hAnsi="Arial" w:cs="Arial"/>
                <w:sz w:val="22"/>
                <w:szCs w:val="22"/>
              </w:rPr>
              <w:t>f</w:t>
            </w:r>
            <w:r w:rsidRPr="00620914">
              <w:rPr>
                <w:rFonts w:ascii="Arial" w:hAnsi="Arial" w:cs="Arial"/>
                <w:sz w:val="22"/>
                <w:szCs w:val="22"/>
              </w:rPr>
              <w:t>igure</w:t>
            </w:r>
          </w:p>
        </w:tc>
        <w:tc>
          <w:tcPr>
            <w:tcW w:w="2075" w:type="dxa"/>
            <w:vAlign w:val="center"/>
          </w:tcPr>
          <w:p w14:paraId="6A16FCA1" w14:textId="31A3DE59" w:rsidR="00C12300" w:rsidRPr="00620914" w:rsidRDefault="00C12300" w:rsidP="004854D1">
            <w:pPr>
              <w:jc w:val="right"/>
              <w:rPr>
                <w:rFonts w:ascii="Arial" w:hAnsi="Arial" w:cs="Arial"/>
                <w:sz w:val="22"/>
                <w:szCs w:val="22"/>
              </w:rPr>
            </w:pPr>
            <w:r w:rsidRPr="00620914">
              <w:rPr>
                <w:rFonts w:ascii="Arial" w:hAnsi="Arial" w:cs="Arial"/>
                <w:sz w:val="22"/>
                <w:szCs w:val="22"/>
              </w:rPr>
              <w:t>1,111</w:t>
            </w:r>
          </w:p>
        </w:tc>
      </w:tr>
      <w:tr w:rsidR="00C823E0" w:rsidRPr="00620914" w14:paraId="09AFAD7E" w14:textId="77777777" w:rsidTr="00844824">
        <w:trPr>
          <w:jc w:val="right"/>
        </w:trPr>
        <w:tc>
          <w:tcPr>
            <w:tcW w:w="6941" w:type="dxa"/>
          </w:tcPr>
          <w:p w14:paraId="3DBECA8C" w14:textId="2C3DEAAE" w:rsidR="00C12300" w:rsidRPr="00620914" w:rsidRDefault="00C12300">
            <w:pPr>
              <w:rPr>
                <w:rFonts w:ascii="Arial" w:hAnsi="Arial" w:cs="Arial"/>
                <w:sz w:val="22"/>
                <w:szCs w:val="22"/>
              </w:rPr>
            </w:pPr>
            <w:r w:rsidRPr="00620914">
              <w:rPr>
                <w:rFonts w:ascii="Arial" w:hAnsi="Arial" w:cs="Arial"/>
                <w:sz w:val="22"/>
                <w:szCs w:val="22"/>
              </w:rPr>
              <w:t>5-year requirement (2025/26 to 2029/30): 5 years @ 1,111</w:t>
            </w:r>
            <w:r w:rsidR="004854D1" w:rsidRPr="00620914">
              <w:rPr>
                <w:rFonts w:ascii="Arial" w:hAnsi="Arial" w:cs="Arial"/>
                <w:sz w:val="22"/>
                <w:szCs w:val="22"/>
              </w:rPr>
              <w:t xml:space="preserve"> per year</w:t>
            </w:r>
          </w:p>
        </w:tc>
        <w:tc>
          <w:tcPr>
            <w:tcW w:w="2075" w:type="dxa"/>
            <w:vAlign w:val="center"/>
          </w:tcPr>
          <w:p w14:paraId="5B6D42FC" w14:textId="3F67AC90" w:rsidR="00C12300" w:rsidRPr="00620914" w:rsidRDefault="00C12300" w:rsidP="004854D1">
            <w:pPr>
              <w:jc w:val="right"/>
              <w:rPr>
                <w:rFonts w:ascii="Arial" w:hAnsi="Arial" w:cs="Arial"/>
                <w:sz w:val="22"/>
                <w:szCs w:val="22"/>
              </w:rPr>
            </w:pPr>
            <w:r w:rsidRPr="00620914">
              <w:rPr>
                <w:rFonts w:ascii="Arial" w:hAnsi="Arial" w:cs="Arial"/>
                <w:sz w:val="22"/>
                <w:szCs w:val="22"/>
              </w:rPr>
              <w:t>5,555</w:t>
            </w:r>
          </w:p>
        </w:tc>
      </w:tr>
      <w:tr w:rsidR="00C823E0" w:rsidRPr="00620914" w14:paraId="6C69F459" w14:textId="77777777" w:rsidTr="00844824">
        <w:trPr>
          <w:jc w:val="right"/>
        </w:trPr>
        <w:tc>
          <w:tcPr>
            <w:tcW w:w="6941" w:type="dxa"/>
          </w:tcPr>
          <w:p w14:paraId="339F7C7D" w14:textId="28213312" w:rsidR="00C12300" w:rsidRPr="00620914" w:rsidRDefault="00C12300">
            <w:pPr>
              <w:rPr>
                <w:rFonts w:ascii="Arial" w:hAnsi="Arial" w:cs="Arial"/>
                <w:sz w:val="22"/>
                <w:szCs w:val="22"/>
              </w:rPr>
            </w:pPr>
            <w:r w:rsidRPr="00620914">
              <w:rPr>
                <w:rFonts w:ascii="Arial" w:hAnsi="Arial" w:cs="Arial"/>
                <w:sz w:val="22"/>
                <w:szCs w:val="22"/>
              </w:rPr>
              <w:t>Plus 5% buffer to ensure competition and choice</w:t>
            </w:r>
          </w:p>
        </w:tc>
        <w:tc>
          <w:tcPr>
            <w:tcW w:w="2075" w:type="dxa"/>
            <w:vAlign w:val="center"/>
          </w:tcPr>
          <w:p w14:paraId="0877865B" w14:textId="22156971" w:rsidR="00C12300" w:rsidRPr="00620914" w:rsidRDefault="004854D1" w:rsidP="004854D1">
            <w:pPr>
              <w:jc w:val="right"/>
              <w:rPr>
                <w:rFonts w:ascii="Arial" w:hAnsi="Arial" w:cs="Arial"/>
                <w:sz w:val="22"/>
                <w:szCs w:val="22"/>
              </w:rPr>
            </w:pPr>
            <w:r w:rsidRPr="00620914">
              <w:rPr>
                <w:rFonts w:ascii="Arial" w:hAnsi="Arial" w:cs="Arial"/>
                <w:sz w:val="22"/>
                <w:szCs w:val="22"/>
              </w:rPr>
              <w:t>278</w:t>
            </w:r>
          </w:p>
        </w:tc>
      </w:tr>
      <w:tr w:rsidR="00844824" w:rsidRPr="00620914" w14:paraId="28576E39" w14:textId="77777777" w:rsidTr="00844824">
        <w:trPr>
          <w:jc w:val="right"/>
        </w:trPr>
        <w:tc>
          <w:tcPr>
            <w:tcW w:w="6941" w:type="dxa"/>
          </w:tcPr>
          <w:p w14:paraId="37CFE960" w14:textId="6CB18EC5" w:rsidR="00C12300" w:rsidRPr="00620914" w:rsidRDefault="004854D1">
            <w:pPr>
              <w:rPr>
                <w:rFonts w:ascii="Arial" w:hAnsi="Arial" w:cs="Arial"/>
                <w:b/>
                <w:bCs/>
                <w:sz w:val="22"/>
                <w:szCs w:val="22"/>
              </w:rPr>
            </w:pPr>
            <w:r w:rsidRPr="00620914">
              <w:rPr>
                <w:rFonts w:ascii="Arial" w:hAnsi="Arial" w:cs="Arial"/>
                <w:b/>
                <w:bCs/>
                <w:sz w:val="22"/>
                <w:szCs w:val="22"/>
              </w:rPr>
              <w:t>Total net 5-year requirement</w:t>
            </w:r>
          </w:p>
        </w:tc>
        <w:tc>
          <w:tcPr>
            <w:tcW w:w="2075" w:type="dxa"/>
            <w:vAlign w:val="center"/>
          </w:tcPr>
          <w:p w14:paraId="3E38E935" w14:textId="307564E0" w:rsidR="00C12300" w:rsidRPr="00620914" w:rsidRDefault="004854D1" w:rsidP="004854D1">
            <w:pPr>
              <w:jc w:val="right"/>
              <w:rPr>
                <w:rFonts w:ascii="Arial" w:hAnsi="Arial" w:cs="Arial"/>
                <w:b/>
                <w:bCs/>
                <w:sz w:val="22"/>
                <w:szCs w:val="22"/>
              </w:rPr>
            </w:pPr>
            <w:r w:rsidRPr="00620914">
              <w:rPr>
                <w:rFonts w:ascii="Arial" w:hAnsi="Arial" w:cs="Arial"/>
                <w:b/>
                <w:bCs/>
                <w:sz w:val="22"/>
                <w:szCs w:val="22"/>
              </w:rPr>
              <w:t>5,833</w:t>
            </w:r>
          </w:p>
        </w:tc>
      </w:tr>
    </w:tbl>
    <w:p w14:paraId="737AE836" w14:textId="77777777" w:rsidR="00C12300" w:rsidRPr="00A56139" w:rsidRDefault="00C12300">
      <w:pPr>
        <w:rPr>
          <w:rFonts w:ascii="Arial" w:hAnsi="Arial" w:cs="Arial"/>
          <w:sz w:val="24"/>
          <w:szCs w:val="24"/>
        </w:rPr>
      </w:pPr>
    </w:p>
    <w:p w14:paraId="1697D592" w14:textId="47818F27" w:rsidR="004854D1" w:rsidRPr="000D51E9" w:rsidRDefault="004854D1" w:rsidP="00A43BC4">
      <w:pPr>
        <w:keepNext/>
        <w:rPr>
          <w:rFonts w:ascii="Arial" w:hAnsi="Arial" w:cs="Arial"/>
          <w:b/>
          <w:bCs/>
          <w:sz w:val="28"/>
          <w:szCs w:val="28"/>
        </w:rPr>
      </w:pPr>
      <w:r w:rsidRPr="000D51E9">
        <w:rPr>
          <w:rFonts w:ascii="Arial" w:hAnsi="Arial" w:cs="Arial"/>
          <w:b/>
          <w:bCs/>
          <w:sz w:val="28"/>
          <w:szCs w:val="28"/>
        </w:rPr>
        <w:t xml:space="preserve">3. Housing </w:t>
      </w:r>
      <w:r w:rsidR="00844824" w:rsidRPr="000D51E9">
        <w:rPr>
          <w:rFonts w:ascii="Arial" w:hAnsi="Arial" w:cs="Arial"/>
          <w:b/>
          <w:bCs/>
          <w:sz w:val="28"/>
          <w:szCs w:val="28"/>
        </w:rPr>
        <w:t>l</w:t>
      </w:r>
      <w:r w:rsidRPr="000D51E9">
        <w:rPr>
          <w:rFonts w:ascii="Arial" w:hAnsi="Arial" w:cs="Arial"/>
          <w:b/>
          <w:bCs/>
          <w:sz w:val="28"/>
          <w:szCs w:val="28"/>
        </w:rPr>
        <w:t xml:space="preserve">and </w:t>
      </w:r>
      <w:r w:rsidR="00844824" w:rsidRPr="000D51E9">
        <w:rPr>
          <w:rFonts w:ascii="Arial" w:hAnsi="Arial" w:cs="Arial"/>
          <w:b/>
          <w:bCs/>
          <w:sz w:val="28"/>
          <w:szCs w:val="28"/>
        </w:rPr>
        <w:t>s</w:t>
      </w:r>
      <w:r w:rsidRPr="000D51E9">
        <w:rPr>
          <w:rFonts w:ascii="Arial" w:hAnsi="Arial" w:cs="Arial"/>
          <w:b/>
          <w:bCs/>
          <w:sz w:val="28"/>
          <w:szCs w:val="28"/>
        </w:rPr>
        <w:t xml:space="preserve">upply </w:t>
      </w:r>
    </w:p>
    <w:p w14:paraId="50D5226E" w14:textId="77777777" w:rsidR="00525313" w:rsidRPr="00A56139" w:rsidRDefault="004854D1">
      <w:pPr>
        <w:rPr>
          <w:rFonts w:ascii="Arial" w:hAnsi="Arial" w:cs="Arial"/>
          <w:sz w:val="24"/>
          <w:szCs w:val="24"/>
        </w:rPr>
      </w:pPr>
      <w:r w:rsidRPr="00A56139">
        <w:rPr>
          <w:rFonts w:ascii="Arial" w:hAnsi="Arial" w:cs="Arial"/>
          <w:sz w:val="24"/>
          <w:szCs w:val="24"/>
        </w:rPr>
        <w:t xml:space="preserve">3.1 This section identifies the evidenced sources of housing land contributing to the 5-year supply of deliverable sites. It also provides an estimated trajectory of supply and concludes by setting out the current 5-year housing land position. </w:t>
      </w:r>
    </w:p>
    <w:p w14:paraId="5ADD2694" w14:textId="50C92D21" w:rsidR="004854D1" w:rsidRPr="000D51E9" w:rsidRDefault="004854D1">
      <w:pPr>
        <w:rPr>
          <w:rFonts w:ascii="Arial" w:hAnsi="Arial" w:cs="Arial"/>
          <w:sz w:val="24"/>
          <w:szCs w:val="24"/>
          <w:u w:val="single"/>
        </w:rPr>
      </w:pPr>
      <w:r w:rsidRPr="000D51E9">
        <w:rPr>
          <w:rFonts w:ascii="Arial" w:hAnsi="Arial" w:cs="Arial"/>
          <w:sz w:val="24"/>
          <w:szCs w:val="24"/>
          <w:u w:val="single"/>
        </w:rPr>
        <w:t xml:space="preserve">Definition of ‘deliverable’ </w:t>
      </w:r>
    </w:p>
    <w:p w14:paraId="2289B69C" w14:textId="079576CF" w:rsidR="004854D1" w:rsidRPr="00A56139" w:rsidRDefault="004854D1">
      <w:pPr>
        <w:rPr>
          <w:rFonts w:ascii="Arial" w:hAnsi="Arial" w:cs="Arial"/>
          <w:sz w:val="24"/>
          <w:szCs w:val="24"/>
        </w:rPr>
      </w:pPr>
      <w:r w:rsidRPr="00A56139">
        <w:rPr>
          <w:rFonts w:ascii="Arial" w:hAnsi="Arial" w:cs="Arial"/>
          <w:sz w:val="24"/>
          <w:szCs w:val="24"/>
        </w:rPr>
        <w:t xml:space="preserve">3.2 The </w:t>
      </w:r>
      <w:r w:rsidR="00E56738" w:rsidRPr="00A56139">
        <w:rPr>
          <w:rFonts w:ascii="Arial" w:hAnsi="Arial" w:cs="Arial"/>
          <w:sz w:val="24"/>
          <w:szCs w:val="24"/>
        </w:rPr>
        <w:t xml:space="preserve">Annex 2 Glossary of </w:t>
      </w:r>
      <w:r w:rsidR="00A400C5" w:rsidRPr="00A56139">
        <w:rPr>
          <w:rFonts w:ascii="Arial" w:hAnsi="Arial" w:cs="Arial"/>
          <w:sz w:val="24"/>
          <w:szCs w:val="24"/>
        </w:rPr>
        <w:t xml:space="preserve">the </w:t>
      </w:r>
      <w:r w:rsidRPr="00A56139">
        <w:rPr>
          <w:rFonts w:ascii="Arial" w:hAnsi="Arial" w:cs="Arial"/>
          <w:sz w:val="24"/>
          <w:szCs w:val="24"/>
        </w:rPr>
        <w:t>NPPF defines deliverable</w:t>
      </w:r>
      <w:r w:rsidR="00E56738" w:rsidRPr="00A56139">
        <w:rPr>
          <w:rStyle w:val="FootnoteReference"/>
          <w:rFonts w:ascii="Arial" w:hAnsi="Arial" w:cs="Arial"/>
          <w:sz w:val="24"/>
          <w:szCs w:val="24"/>
        </w:rPr>
        <w:footnoteReference w:id="7"/>
      </w:r>
      <w:r w:rsidRPr="00A56139">
        <w:rPr>
          <w:rFonts w:ascii="Arial" w:hAnsi="Arial" w:cs="Arial"/>
          <w:sz w:val="24"/>
          <w:szCs w:val="24"/>
        </w:rPr>
        <w:t xml:space="preserve"> for the purposes of including sites within the 5-year housing land supply</w:t>
      </w:r>
      <w:r w:rsidR="00525313" w:rsidRPr="00A56139">
        <w:rPr>
          <w:rFonts w:ascii="Arial" w:hAnsi="Arial" w:cs="Arial"/>
          <w:sz w:val="24"/>
          <w:szCs w:val="24"/>
        </w:rPr>
        <w:t xml:space="preserve"> and i</w:t>
      </w:r>
      <w:r w:rsidRPr="00A56139">
        <w:rPr>
          <w:rFonts w:ascii="Arial" w:hAnsi="Arial" w:cs="Arial"/>
          <w:sz w:val="24"/>
          <w:szCs w:val="24"/>
        </w:rPr>
        <w:t xml:space="preserve">t separates sites into two distinct categories. It states that: </w:t>
      </w:r>
    </w:p>
    <w:p w14:paraId="67F99293" w14:textId="77777777" w:rsidR="004854D1" w:rsidRPr="00A56139" w:rsidRDefault="004854D1">
      <w:pPr>
        <w:rPr>
          <w:rFonts w:ascii="Arial" w:hAnsi="Arial" w:cs="Arial"/>
          <w:i/>
          <w:iCs/>
          <w:sz w:val="24"/>
          <w:szCs w:val="24"/>
        </w:rPr>
      </w:pPr>
      <w:r w:rsidRPr="00A56139">
        <w:rPr>
          <w:rFonts w:ascii="Arial" w:hAnsi="Arial" w:cs="Arial"/>
          <w:i/>
          <w:iCs/>
          <w:sz w:val="24"/>
          <w:szCs w:val="24"/>
        </w:rPr>
        <w:lastRenderedPageBreak/>
        <w:t xml:space="preserve">‘To be considered deliverable, sites for housing should be available now, offer a suitable location for development now, and be achievable with a realistic prospect that housing will be delivered on the site within five years. In particular: </w:t>
      </w:r>
    </w:p>
    <w:p w14:paraId="799A1084" w14:textId="77777777" w:rsidR="004854D1" w:rsidRPr="00A56139" w:rsidRDefault="004854D1">
      <w:pPr>
        <w:rPr>
          <w:rFonts w:ascii="Arial" w:hAnsi="Arial" w:cs="Arial"/>
          <w:i/>
          <w:iCs/>
          <w:sz w:val="24"/>
          <w:szCs w:val="24"/>
        </w:rPr>
      </w:pPr>
      <w:r w:rsidRPr="00A56139">
        <w:rPr>
          <w:rFonts w:ascii="Arial" w:hAnsi="Arial" w:cs="Arial"/>
          <w:i/>
          <w:iCs/>
          <w:sz w:val="24"/>
          <w:szCs w:val="24"/>
        </w:rPr>
        <w:t xml:space="preserve">(a) sites which do not involve major development and have planning permission, and all sites with detailed planning permission, should be considered deliverable until permission expires, unless there is clear evidence that homes will not be delivered within five years (for example because they are no longer viable, there is no longer a demand for the type of units or sites have long term phasing plans). </w:t>
      </w:r>
    </w:p>
    <w:p w14:paraId="78CBA6CC" w14:textId="77777777" w:rsidR="004854D1" w:rsidRPr="00A56139" w:rsidRDefault="004854D1">
      <w:pPr>
        <w:rPr>
          <w:rFonts w:ascii="Arial" w:hAnsi="Arial" w:cs="Arial"/>
          <w:i/>
          <w:iCs/>
          <w:sz w:val="24"/>
          <w:szCs w:val="24"/>
        </w:rPr>
      </w:pPr>
      <w:r w:rsidRPr="00A56139">
        <w:rPr>
          <w:rFonts w:ascii="Arial" w:hAnsi="Arial" w:cs="Arial"/>
          <w:i/>
          <w:iCs/>
          <w:sz w:val="24"/>
          <w:szCs w:val="24"/>
        </w:rPr>
        <w:t xml:space="preserve">(b) Where a site has outline planning permission for major development, has been allocated in a development plan, has a grant of permission in principle, or is identified on a brownfield register, it should only be considered deliverable where there is clear evidence that housing completions will begin on site within five years.’ </w:t>
      </w:r>
    </w:p>
    <w:p w14:paraId="6B3CC858" w14:textId="2BBE6917" w:rsidR="00E56738" w:rsidRPr="00A56139" w:rsidRDefault="004854D1">
      <w:pPr>
        <w:rPr>
          <w:rFonts w:ascii="Arial" w:hAnsi="Arial" w:cs="Arial"/>
          <w:sz w:val="24"/>
          <w:szCs w:val="24"/>
        </w:rPr>
      </w:pPr>
      <w:r w:rsidRPr="00A56139">
        <w:rPr>
          <w:rFonts w:ascii="Arial" w:hAnsi="Arial" w:cs="Arial"/>
          <w:sz w:val="24"/>
          <w:szCs w:val="24"/>
        </w:rPr>
        <w:t>3.3 The definition sets out two key categories of sites that can be tested for inclusion in the deliverable housing land supply. Planning practice guidance</w:t>
      </w:r>
      <w:r w:rsidR="00E56738" w:rsidRPr="00A56139">
        <w:rPr>
          <w:rStyle w:val="FootnoteReference"/>
          <w:rFonts w:ascii="Arial" w:hAnsi="Arial" w:cs="Arial"/>
          <w:sz w:val="24"/>
          <w:szCs w:val="24"/>
        </w:rPr>
        <w:footnoteReference w:id="8"/>
      </w:r>
      <w:r w:rsidRPr="00A56139">
        <w:rPr>
          <w:rFonts w:ascii="Arial" w:hAnsi="Arial" w:cs="Arial"/>
          <w:sz w:val="24"/>
          <w:szCs w:val="24"/>
        </w:rPr>
        <w:t xml:space="preserve"> provides further detail on </w:t>
      </w:r>
      <w:r w:rsidR="00525313" w:rsidRPr="00A56139">
        <w:rPr>
          <w:rFonts w:ascii="Arial" w:hAnsi="Arial" w:cs="Arial"/>
          <w:sz w:val="24"/>
          <w:szCs w:val="24"/>
        </w:rPr>
        <w:t>those</w:t>
      </w:r>
      <w:r w:rsidRPr="00A56139">
        <w:rPr>
          <w:rFonts w:ascii="Arial" w:hAnsi="Arial" w:cs="Arial"/>
          <w:sz w:val="24"/>
          <w:szCs w:val="24"/>
        </w:rPr>
        <w:t xml:space="preserve"> sites</w:t>
      </w:r>
      <w:r w:rsidR="00525313" w:rsidRPr="00A56139">
        <w:rPr>
          <w:rFonts w:ascii="Arial" w:hAnsi="Arial" w:cs="Arial"/>
          <w:sz w:val="24"/>
          <w:szCs w:val="24"/>
        </w:rPr>
        <w:t xml:space="preserve"> that</w:t>
      </w:r>
      <w:r w:rsidRPr="00A56139">
        <w:rPr>
          <w:rFonts w:ascii="Arial" w:hAnsi="Arial" w:cs="Arial"/>
          <w:sz w:val="24"/>
          <w:szCs w:val="24"/>
        </w:rPr>
        <w:t xml:space="preserve"> should be considered deliverable, and the evidence required to demonstrate this. For small sites with planning permission, and large sites with full planning permission (category A), the presumption is that those sites will be included in the 5-year supply, unless there is evidence to the contrary. This may be where they are no longer viable, there is no longer demand for the type of units or sites have long term phasing plans. </w:t>
      </w:r>
    </w:p>
    <w:p w14:paraId="50DF79ED" w14:textId="1D47C89B" w:rsidR="00A16588" w:rsidRPr="00A56139" w:rsidRDefault="004854D1">
      <w:pPr>
        <w:rPr>
          <w:rFonts w:ascii="Arial" w:hAnsi="Arial" w:cs="Arial"/>
          <w:sz w:val="24"/>
          <w:szCs w:val="24"/>
        </w:rPr>
      </w:pPr>
      <w:r w:rsidRPr="00A56139">
        <w:rPr>
          <w:rFonts w:ascii="Arial" w:hAnsi="Arial" w:cs="Arial"/>
          <w:sz w:val="24"/>
          <w:szCs w:val="24"/>
        </w:rPr>
        <w:t>3.4 Paragraph 007 of the guidance describes the type of evidence that may be used to demonstrate deliverability on those sites in category B of the NPPF definition. For sites with outline planning permission for major development,</w:t>
      </w:r>
      <w:r w:rsidR="00A16588" w:rsidRPr="00A56139">
        <w:rPr>
          <w:rFonts w:ascii="Arial" w:hAnsi="Arial" w:cs="Arial"/>
          <w:sz w:val="24"/>
          <w:szCs w:val="24"/>
        </w:rPr>
        <w:t xml:space="preserve"> allocated in the development plan, have permission in principle, or are on the brownfield register, the burden of proof is different. For these sites, the onus is on local planning authorities to demonstrate that there is clear, specific evidence that housing completions will begin on site within five years such as: </w:t>
      </w:r>
    </w:p>
    <w:p w14:paraId="6BE5CF2A" w14:textId="77777777" w:rsidR="00A16588" w:rsidRPr="00A56139" w:rsidRDefault="00A16588" w:rsidP="00844824">
      <w:pPr>
        <w:ind w:left="567"/>
        <w:rPr>
          <w:rFonts w:ascii="Arial" w:hAnsi="Arial" w:cs="Arial"/>
          <w:sz w:val="24"/>
          <w:szCs w:val="24"/>
        </w:rPr>
      </w:pPr>
      <w:r w:rsidRPr="00A56139">
        <w:rPr>
          <w:rFonts w:ascii="Arial" w:hAnsi="Arial" w:cs="Arial"/>
          <w:sz w:val="24"/>
          <w:szCs w:val="24"/>
        </w:rPr>
        <w:t xml:space="preserve">• Progress made towards approving reserved matters on large sites with outline </w:t>
      </w:r>
      <w:proofErr w:type="gramStart"/>
      <w:r w:rsidRPr="00A56139">
        <w:rPr>
          <w:rFonts w:ascii="Arial" w:hAnsi="Arial" w:cs="Arial"/>
          <w:sz w:val="24"/>
          <w:szCs w:val="24"/>
        </w:rPr>
        <w:t>permission;</w:t>
      </w:r>
      <w:proofErr w:type="gramEnd"/>
      <w:r w:rsidRPr="00A56139">
        <w:rPr>
          <w:rFonts w:ascii="Arial" w:hAnsi="Arial" w:cs="Arial"/>
          <w:sz w:val="24"/>
          <w:szCs w:val="24"/>
        </w:rPr>
        <w:t xml:space="preserve"> </w:t>
      </w:r>
    </w:p>
    <w:p w14:paraId="1BAB7E7C" w14:textId="77777777" w:rsidR="00A16588" w:rsidRPr="00A56139" w:rsidRDefault="00A16588" w:rsidP="00844824">
      <w:pPr>
        <w:ind w:left="567"/>
        <w:rPr>
          <w:rFonts w:ascii="Arial" w:hAnsi="Arial" w:cs="Arial"/>
          <w:sz w:val="24"/>
          <w:szCs w:val="24"/>
        </w:rPr>
      </w:pPr>
      <w:r w:rsidRPr="00A56139">
        <w:rPr>
          <w:rFonts w:ascii="Arial" w:hAnsi="Arial" w:cs="Arial"/>
          <w:sz w:val="24"/>
          <w:szCs w:val="24"/>
        </w:rPr>
        <w:t xml:space="preserve">• Firm progress being made towards the submission of an application – for example a written agreement between the local planning authority and the site developer(s) confirming the developer’s delivery intentions and anticipated start and build out </w:t>
      </w:r>
      <w:proofErr w:type="gramStart"/>
      <w:r w:rsidRPr="00A56139">
        <w:rPr>
          <w:rFonts w:ascii="Arial" w:hAnsi="Arial" w:cs="Arial"/>
          <w:sz w:val="24"/>
          <w:szCs w:val="24"/>
        </w:rPr>
        <w:t>rates;</w:t>
      </w:r>
      <w:proofErr w:type="gramEnd"/>
      <w:r w:rsidRPr="00A56139">
        <w:rPr>
          <w:rFonts w:ascii="Arial" w:hAnsi="Arial" w:cs="Arial"/>
          <w:sz w:val="24"/>
          <w:szCs w:val="24"/>
        </w:rPr>
        <w:t xml:space="preserve"> </w:t>
      </w:r>
    </w:p>
    <w:p w14:paraId="7529F633" w14:textId="77777777" w:rsidR="00A16588" w:rsidRPr="00A56139" w:rsidRDefault="00A16588" w:rsidP="00844824">
      <w:pPr>
        <w:ind w:left="567"/>
        <w:rPr>
          <w:rFonts w:ascii="Arial" w:hAnsi="Arial" w:cs="Arial"/>
          <w:sz w:val="24"/>
          <w:szCs w:val="24"/>
        </w:rPr>
      </w:pPr>
      <w:r w:rsidRPr="00A56139">
        <w:rPr>
          <w:rFonts w:ascii="Arial" w:hAnsi="Arial" w:cs="Arial"/>
          <w:sz w:val="24"/>
          <w:szCs w:val="24"/>
        </w:rPr>
        <w:t xml:space="preserve">• Firm progress with site assessment </w:t>
      </w:r>
      <w:proofErr w:type="gramStart"/>
      <w:r w:rsidRPr="00A56139">
        <w:rPr>
          <w:rFonts w:ascii="Arial" w:hAnsi="Arial" w:cs="Arial"/>
          <w:sz w:val="24"/>
          <w:szCs w:val="24"/>
        </w:rPr>
        <w:t>work;</w:t>
      </w:r>
      <w:proofErr w:type="gramEnd"/>
      <w:r w:rsidRPr="00A56139">
        <w:rPr>
          <w:rFonts w:ascii="Arial" w:hAnsi="Arial" w:cs="Arial"/>
          <w:sz w:val="24"/>
          <w:szCs w:val="24"/>
        </w:rPr>
        <w:t xml:space="preserve"> </w:t>
      </w:r>
    </w:p>
    <w:p w14:paraId="05E622DC" w14:textId="28FA16C3" w:rsidR="0097729B" w:rsidRPr="00A56139" w:rsidRDefault="00A16588" w:rsidP="00844824">
      <w:pPr>
        <w:ind w:left="567"/>
        <w:rPr>
          <w:rFonts w:ascii="Arial" w:hAnsi="Arial" w:cs="Arial"/>
          <w:sz w:val="24"/>
          <w:szCs w:val="24"/>
        </w:rPr>
      </w:pPr>
      <w:r w:rsidRPr="00A56139">
        <w:rPr>
          <w:rFonts w:ascii="Arial" w:hAnsi="Arial" w:cs="Arial"/>
          <w:sz w:val="24"/>
          <w:szCs w:val="24"/>
        </w:rPr>
        <w:lastRenderedPageBreak/>
        <w:t>• Clear, relevant information about site viability, ownership constraints or infrastructure provision, such as successful participation in bids for large-scale infrastructure funding or other similar projects</w:t>
      </w:r>
      <w:r w:rsidR="00844824" w:rsidRPr="00A56139">
        <w:rPr>
          <w:rFonts w:ascii="Arial" w:hAnsi="Arial" w:cs="Arial"/>
          <w:sz w:val="24"/>
          <w:szCs w:val="24"/>
        </w:rPr>
        <w:t>.</w:t>
      </w:r>
    </w:p>
    <w:p w14:paraId="3848CC66" w14:textId="4DC5AE81" w:rsidR="00A16588" w:rsidRPr="00A56139" w:rsidRDefault="00A16588">
      <w:pPr>
        <w:rPr>
          <w:rFonts w:ascii="Arial" w:hAnsi="Arial" w:cs="Arial"/>
          <w:sz w:val="24"/>
          <w:szCs w:val="24"/>
        </w:rPr>
      </w:pPr>
      <w:r w:rsidRPr="00A56139">
        <w:rPr>
          <w:rFonts w:ascii="Arial" w:hAnsi="Arial" w:cs="Arial"/>
          <w:sz w:val="24"/>
          <w:szCs w:val="24"/>
        </w:rPr>
        <w:t xml:space="preserve">3.5 </w:t>
      </w:r>
      <w:r w:rsidR="000D51E9">
        <w:rPr>
          <w:rFonts w:ascii="Arial" w:hAnsi="Arial" w:cs="Arial"/>
          <w:sz w:val="24"/>
          <w:szCs w:val="24"/>
        </w:rPr>
        <w:t>Figures for a</w:t>
      </w:r>
      <w:r w:rsidRPr="00A56139">
        <w:rPr>
          <w:rFonts w:ascii="Arial" w:hAnsi="Arial" w:cs="Arial"/>
          <w:sz w:val="24"/>
          <w:szCs w:val="24"/>
        </w:rPr>
        <w:t xml:space="preserve">ll sites under construction, with full and outline planning permission and allocated in the adopted local plan with their anticipated capacity and delivery dates, </w:t>
      </w:r>
      <w:r w:rsidR="00A400C5" w:rsidRPr="00A56139">
        <w:rPr>
          <w:rFonts w:ascii="Arial" w:hAnsi="Arial" w:cs="Arial"/>
          <w:sz w:val="24"/>
          <w:szCs w:val="24"/>
        </w:rPr>
        <w:t xml:space="preserve">is available </w:t>
      </w:r>
      <w:r w:rsidR="000D51E9">
        <w:rPr>
          <w:rFonts w:ascii="Arial" w:hAnsi="Arial" w:cs="Arial"/>
          <w:sz w:val="24"/>
          <w:szCs w:val="24"/>
        </w:rPr>
        <w:t xml:space="preserve">in the data tables supporting </w:t>
      </w:r>
      <w:r w:rsidR="00B274CE" w:rsidRPr="00A56139">
        <w:rPr>
          <w:rFonts w:ascii="Arial" w:hAnsi="Arial" w:cs="Arial"/>
          <w:sz w:val="24"/>
          <w:szCs w:val="24"/>
        </w:rPr>
        <w:t>this report.</w:t>
      </w:r>
    </w:p>
    <w:p w14:paraId="51802EB2" w14:textId="77777777" w:rsidR="00B274CE" w:rsidRPr="000D51E9" w:rsidRDefault="00B274CE">
      <w:pPr>
        <w:rPr>
          <w:rFonts w:ascii="Arial" w:hAnsi="Arial" w:cs="Arial"/>
          <w:sz w:val="24"/>
          <w:szCs w:val="24"/>
          <w:u w:val="single"/>
        </w:rPr>
      </w:pPr>
      <w:r w:rsidRPr="000D51E9">
        <w:rPr>
          <w:rFonts w:ascii="Arial" w:hAnsi="Arial" w:cs="Arial"/>
          <w:sz w:val="24"/>
          <w:szCs w:val="24"/>
          <w:u w:val="single"/>
        </w:rPr>
        <w:t xml:space="preserve">Sources of supply </w:t>
      </w:r>
    </w:p>
    <w:p w14:paraId="6E1FC033" w14:textId="2E60C3F6" w:rsidR="00B274CE" w:rsidRPr="00A56139" w:rsidRDefault="00B274CE">
      <w:pPr>
        <w:rPr>
          <w:rFonts w:ascii="Arial" w:hAnsi="Arial" w:cs="Arial"/>
          <w:sz w:val="24"/>
          <w:szCs w:val="24"/>
        </w:rPr>
      </w:pPr>
      <w:r w:rsidRPr="00A56139">
        <w:rPr>
          <w:rFonts w:ascii="Arial" w:hAnsi="Arial" w:cs="Arial"/>
          <w:sz w:val="24"/>
          <w:szCs w:val="24"/>
        </w:rPr>
        <w:t>3.6 The definition of ‘deliverable’ in the NPPF determines which categories sites fall into. The largest category of sites is those that already have full planning permission for 10 or more dwellings. However, small sites and sites on the brownfield register</w:t>
      </w:r>
      <w:r w:rsidR="001B1281" w:rsidRPr="00A56139">
        <w:rPr>
          <w:rFonts w:ascii="Arial" w:hAnsi="Arial" w:cs="Arial"/>
          <w:sz w:val="24"/>
          <w:szCs w:val="24"/>
        </w:rPr>
        <w:t xml:space="preserve"> or that are submitted as windfall planning applications,</w:t>
      </w:r>
      <w:r w:rsidRPr="00A56139">
        <w:rPr>
          <w:rFonts w:ascii="Arial" w:hAnsi="Arial" w:cs="Arial"/>
          <w:sz w:val="24"/>
          <w:szCs w:val="24"/>
        </w:rPr>
        <w:t xml:space="preserve"> also make a significant contribution towards the 5-year supply.</w:t>
      </w:r>
    </w:p>
    <w:p w14:paraId="055D6AB8" w14:textId="33C45B30" w:rsidR="00B274CE" w:rsidRPr="00A56139" w:rsidRDefault="00B274CE">
      <w:pPr>
        <w:rPr>
          <w:rFonts w:ascii="Arial" w:hAnsi="Arial" w:cs="Arial"/>
          <w:sz w:val="24"/>
          <w:szCs w:val="24"/>
        </w:rPr>
      </w:pPr>
      <w:r w:rsidRPr="00A56139">
        <w:rPr>
          <w:rFonts w:ascii="Arial" w:hAnsi="Arial" w:cs="Arial"/>
          <w:sz w:val="24"/>
          <w:szCs w:val="24"/>
        </w:rPr>
        <w:t xml:space="preserve">3.7 The build rate assumptions used are relatively conservative and have previously been agreed by the </w:t>
      </w:r>
      <w:r w:rsidR="00A400C5" w:rsidRPr="00A56139">
        <w:rPr>
          <w:rFonts w:ascii="Arial" w:hAnsi="Arial" w:cs="Arial"/>
          <w:sz w:val="24"/>
          <w:szCs w:val="24"/>
        </w:rPr>
        <w:t>Strategic Housing Land Availability Assessment (</w:t>
      </w:r>
      <w:r w:rsidR="00F10E12" w:rsidRPr="00A56139">
        <w:rPr>
          <w:rFonts w:ascii="Arial" w:hAnsi="Arial" w:cs="Arial"/>
          <w:sz w:val="24"/>
          <w:szCs w:val="24"/>
        </w:rPr>
        <w:t>S</w:t>
      </w:r>
      <w:r w:rsidRPr="00A56139">
        <w:rPr>
          <w:rFonts w:ascii="Arial" w:hAnsi="Arial" w:cs="Arial"/>
          <w:sz w:val="24"/>
          <w:szCs w:val="24"/>
        </w:rPr>
        <w:t>HLAA</w:t>
      </w:r>
      <w:r w:rsidR="00A400C5" w:rsidRPr="00A56139">
        <w:rPr>
          <w:rFonts w:ascii="Arial" w:hAnsi="Arial" w:cs="Arial"/>
          <w:sz w:val="24"/>
          <w:szCs w:val="24"/>
        </w:rPr>
        <w:t>)</w:t>
      </w:r>
      <w:r w:rsidRPr="00A56139">
        <w:rPr>
          <w:rFonts w:ascii="Arial" w:hAnsi="Arial" w:cs="Arial"/>
          <w:sz w:val="24"/>
          <w:szCs w:val="24"/>
        </w:rPr>
        <w:t xml:space="preserve"> Working Group</w:t>
      </w:r>
      <w:r w:rsidR="00F10E12" w:rsidRPr="00A56139">
        <w:rPr>
          <w:rFonts w:ascii="Arial" w:hAnsi="Arial" w:cs="Arial"/>
          <w:sz w:val="24"/>
          <w:szCs w:val="24"/>
        </w:rPr>
        <w:t xml:space="preserve">, during examination of the Sites and Policies </w:t>
      </w:r>
      <w:r w:rsidR="00A400C5" w:rsidRPr="00A56139">
        <w:rPr>
          <w:rFonts w:ascii="Arial" w:hAnsi="Arial" w:cs="Arial"/>
          <w:sz w:val="24"/>
          <w:szCs w:val="24"/>
        </w:rPr>
        <w:t>Document</w:t>
      </w:r>
      <w:r w:rsidRPr="00A56139">
        <w:rPr>
          <w:rFonts w:ascii="Arial" w:hAnsi="Arial" w:cs="Arial"/>
          <w:sz w:val="24"/>
          <w:szCs w:val="24"/>
        </w:rPr>
        <w:t xml:space="preserve">. </w:t>
      </w:r>
      <w:r w:rsidR="006B4D3D" w:rsidRPr="00A56139">
        <w:rPr>
          <w:rFonts w:ascii="Arial" w:hAnsi="Arial" w:cs="Arial"/>
          <w:sz w:val="24"/>
          <w:szCs w:val="24"/>
        </w:rPr>
        <w:t>The Council</w:t>
      </w:r>
      <w:r w:rsidRPr="00A56139">
        <w:rPr>
          <w:rFonts w:ascii="Arial" w:hAnsi="Arial" w:cs="Arial"/>
          <w:sz w:val="24"/>
          <w:szCs w:val="24"/>
        </w:rPr>
        <w:t xml:space="preserve"> expect</w:t>
      </w:r>
      <w:r w:rsidR="006B4D3D" w:rsidRPr="00A56139">
        <w:rPr>
          <w:rFonts w:ascii="Arial" w:hAnsi="Arial" w:cs="Arial"/>
          <w:sz w:val="24"/>
          <w:szCs w:val="24"/>
        </w:rPr>
        <w:t>s</w:t>
      </w:r>
      <w:r w:rsidRPr="00A56139">
        <w:rPr>
          <w:rFonts w:ascii="Arial" w:hAnsi="Arial" w:cs="Arial"/>
          <w:sz w:val="24"/>
          <w:szCs w:val="24"/>
        </w:rPr>
        <w:t xml:space="preserve"> that overall levels of delivery within the 5-year period based on the assumed build rates</w:t>
      </w:r>
      <w:r w:rsidR="00F10E12" w:rsidRPr="00A56139">
        <w:rPr>
          <w:rFonts w:ascii="Arial" w:hAnsi="Arial" w:cs="Arial"/>
          <w:sz w:val="24"/>
          <w:szCs w:val="24"/>
        </w:rPr>
        <w:t xml:space="preserve"> will continue</w:t>
      </w:r>
      <w:r w:rsidRPr="00A56139">
        <w:rPr>
          <w:rFonts w:ascii="Arial" w:hAnsi="Arial" w:cs="Arial"/>
          <w:sz w:val="24"/>
          <w:szCs w:val="24"/>
        </w:rPr>
        <w:t xml:space="preserve">. </w:t>
      </w:r>
    </w:p>
    <w:p w14:paraId="1E413416" w14:textId="467804D0" w:rsidR="00B274CE" w:rsidRPr="000D51E9" w:rsidRDefault="00B274CE">
      <w:pPr>
        <w:rPr>
          <w:rFonts w:ascii="Arial" w:hAnsi="Arial" w:cs="Arial"/>
          <w:i/>
          <w:iCs/>
          <w:sz w:val="24"/>
          <w:szCs w:val="24"/>
        </w:rPr>
      </w:pPr>
      <w:r w:rsidRPr="000D51E9">
        <w:rPr>
          <w:rFonts w:ascii="Arial" w:hAnsi="Arial" w:cs="Arial"/>
          <w:i/>
          <w:iCs/>
          <w:sz w:val="24"/>
          <w:szCs w:val="24"/>
        </w:rPr>
        <w:t>Category A</w:t>
      </w:r>
    </w:p>
    <w:p w14:paraId="37C9D72D" w14:textId="007E5E9E" w:rsidR="00B274CE" w:rsidRPr="00A56139" w:rsidRDefault="00B274CE">
      <w:pPr>
        <w:rPr>
          <w:rFonts w:ascii="Arial" w:hAnsi="Arial" w:cs="Arial"/>
          <w:sz w:val="24"/>
          <w:szCs w:val="24"/>
        </w:rPr>
      </w:pPr>
      <w:r w:rsidRPr="00A56139">
        <w:rPr>
          <w:rFonts w:ascii="Arial" w:hAnsi="Arial" w:cs="Arial"/>
          <w:sz w:val="24"/>
          <w:szCs w:val="24"/>
        </w:rPr>
        <w:t xml:space="preserve">3.8 Large sites with full planning permission make up </w:t>
      </w:r>
      <w:proofErr w:type="gramStart"/>
      <w:r w:rsidRPr="00A56139">
        <w:rPr>
          <w:rFonts w:ascii="Arial" w:hAnsi="Arial" w:cs="Arial"/>
          <w:sz w:val="24"/>
          <w:szCs w:val="24"/>
        </w:rPr>
        <w:t>the majority of</w:t>
      </w:r>
      <w:proofErr w:type="gramEnd"/>
      <w:r w:rsidRPr="00A56139">
        <w:rPr>
          <w:rFonts w:ascii="Arial" w:hAnsi="Arial" w:cs="Arial"/>
          <w:sz w:val="24"/>
          <w:szCs w:val="24"/>
        </w:rPr>
        <w:t xml:space="preserve"> sites that will deliver new homes over the 5-year period. </w:t>
      </w:r>
      <w:r w:rsidR="001B1281" w:rsidRPr="00A56139">
        <w:rPr>
          <w:rFonts w:ascii="Arial" w:hAnsi="Arial" w:cs="Arial"/>
          <w:sz w:val="24"/>
          <w:szCs w:val="24"/>
        </w:rPr>
        <w:t>A</w:t>
      </w:r>
      <w:r w:rsidRPr="00A56139">
        <w:rPr>
          <w:rFonts w:ascii="Arial" w:hAnsi="Arial" w:cs="Arial"/>
          <w:sz w:val="24"/>
          <w:szCs w:val="24"/>
        </w:rPr>
        <w:t xml:space="preserve">n audit is carried out to ascertain which sites have delivered homes </w:t>
      </w:r>
      <w:proofErr w:type="gramStart"/>
      <w:r w:rsidRPr="00A56139">
        <w:rPr>
          <w:rFonts w:ascii="Arial" w:hAnsi="Arial" w:cs="Arial"/>
          <w:sz w:val="24"/>
          <w:szCs w:val="24"/>
        </w:rPr>
        <w:t>and also</w:t>
      </w:r>
      <w:proofErr w:type="gramEnd"/>
      <w:r w:rsidRPr="00A56139">
        <w:rPr>
          <w:rFonts w:ascii="Arial" w:hAnsi="Arial" w:cs="Arial"/>
          <w:sz w:val="24"/>
          <w:szCs w:val="24"/>
        </w:rPr>
        <w:t xml:space="preserve"> which are (a) under construction, (b) </w:t>
      </w:r>
      <w:r w:rsidR="00F10E12" w:rsidRPr="00A56139">
        <w:rPr>
          <w:rFonts w:ascii="Arial" w:hAnsi="Arial" w:cs="Arial"/>
          <w:sz w:val="24"/>
          <w:szCs w:val="24"/>
        </w:rPr>
        <w:t xml:space="preserve">potentially have </w:t>
      </w:r>
      <w:r w:rsidRPr="00A56139">
        <w:rPr>
          <w:rFonts w:ascii="Arial" w:hAnsi="Arial" w:cs="Arial"/>
          <w:sz w:val="24"/>
          <w:szCs w:val="24"/>
        </w:rPr>
        <w:t xml:space="preserve">stalled or (c) not started. </w:t>
      </w:r>
    </w:p>
    <w:p w14:paraId="235ED634" w14:textId="02F9DA47" w:rsidR="00B274CE" w:rsidRPr="00A56139" w:rsidRDefault="00B274CE">
      <w:pPr>
        <w:rPr>
          <w:rFonts w:ascii="Arial" w:hAnsi="Arial" w:cs="Arial"/>
          <w:sz w:val="24"/>
          <w:szCs w:val="24"/>
        </w:rPr>
      </w:pPr>
      <w:r w:rsidRPr="00A56139">
        <w:rPr>
          <w:rFonts w:ascii="Arial" w:hAnsi="Arial" w:cs="Arial"/>
          <w:sz w:val="24"/>
          <w:szCs w:val="24"/>
        </w:rPr>
        <w:t xml:space="preserve">3.9 The audit of the deliverability of sites uses site visits and observations, cross referenced with Council Tax data, Community Infrastructure Levy (CIL) commencement notices, building regulations data </w:t>
      </w:r>
      <w:r w:rsidR="001B1281" w:rsidRPr="00A56139">
        <w:rPr>
          <w:rFonts w:ascii="Arial" w:hAnsi="Arial" w:cs="Arial"/>
          <w:sz w:val="24"/>
          <w:szCs w:val="24"/>
        </w:rPr>
        <w:t xml:space="preserve">and a review of </w:t>
      </w:r>
      <w:r w:rsidR="00465E82" w:rsidRPr="00A56139">
        <w:rPr>
          <w:rFonts w:ascii="Arial" w:hAnsi="Arial" w:cs="Arial"/>
          <w:sz w:val="24"/>
          <w:szCs w:val="24"/>
        </w:rPr>
        <w:t>G</w:t>
      </w:r>
      <w:r w:rsidR="001B1281" w:rsidRPr="00A56139">
        <w:rPr>
          <w:rFonts w:ascii="Arial" w:hAnsi="Arial" w:cs="Arial"/>
          <w:sz w:val="24"/>
          <w:szCs w:val="24"/>
        </w:rPr>
        <w:t xml:space="preserve">oogle </w:t>
      </w:r>
      <w:r w:rsidR="00465E82" w:rsidRPr="00A56139">
        <w:rPr>
          <w:rFonts w:ascii="Arial" w:hAnsi="Arial" w:cs="Arial"/>
          <w:sz w:val="24"/>
          <w:szCs w:val="24"/>
        </w:rPr>
        <w:t>M</w:t>
      </w:r>
      <w:r w:rsidR="001B1281" w:rsidRPr="00A56139">
        <w:rPr>
          <w:rFonts w:ascii="Arial" w:hAnsi="Arial" w:cs="Arial"/>
          <w:sz w:val="24"/>
          <w:szCs w:val="24"/>
        </w:rPr>
        <w:t xml:space="preserve">aps and </w:t>
      </w:r>
      <w:r w:rsidR="00465E82" w:rsidRPr="00A56139">
        <w:rPr>
          <w:rFonts w:ascii="Arial" w:hAnsi="Arial" w:cs="Arial"/>
          <w:sz w:val="24"/>
          <w:szCs w:val="24"/>
        </w:rPr>
        <w:t>G</w:t>
      </w:r>
      <w:r w:rsidR="00F10E12" w:rsidRPr="00A56139">
        <w:rPr>
          <w:rFonts w:ascii="Arial" w:hAnsi="Arial" w:cs="Arial"/>
          <w:sz w:val="24"/>
          <w:szCs w:val="24"/>
        </w:rPr>
        <w:t xml:space="preserve">oogle </w:t>
      </w:r>
      <w:r w:rsidR="00465E82" w:rsidRPr="00A56139">
        <w:rPr>
          <w:rFonts w:ascii="Arial" w:hAnsi="Arial" w:cs="Arial"/>
          <w:sz w:val="24"/>
          <w:szCs w:val="24"/>
        </w:rPr>
        <w:t>E</w:t>
      </w:r>
      <w:r w:rsidR="001B1281" w:rsidRPr="00A56139">
        <w:rPr>
          <w:rFonts w:ascii="Arial" w:hAnsi="Arial" w:cs="Arial"/>
          <w:sz w:val="24"/>
          <w:szCs w:val="24"/>
        </w:rPr>
        <w:t>arth</w:t>
      </w:r>
      <w:r w:rsidRPr="00A56139">
        <w:rPr>
          <w:rFonts w:ascii="Arial" w:hAnsi="Arial" w:cs="Arial"/>
          <w:sz w:val="24"/>
          <w:szCs w:val="24"/>
        </w:rPr>
        <w:t xml:space="preserve">. The NPPF notes that sites with full planning permission should be considered deliverable unless there is clear evidence that homes will not be delivered. </w:t>
      </w:r>
    </w:p>
    <w:p w14:paraId="731E8C81" w14:textId="5E235353" w:rsidR="00B274CE" w:rsidRPr="00A56139" w:rsidRDefault="00B274CE">
      <w:pPr>
        <w:rPr>
          <w:rFonts w:ascii="Arial" w:hAnsi="Arial" w:cs="Arial"/>
          <w:sz w:val="24"/>
          <w:szCs w:val="24"/>
        </w:rPr>
      </w:pPr>
      <w:r w:rsidRPr="00A56139">
        <w:rPr>
          <w:rFonts w:ascii="Arial" w:hAnsi="Arial" w:cs="Arial"/>
          <w:sz w:val="24"/>
          <w:szCs w:val="24"/>
        </w:rPr>
        <w:t>3.1</w:t>
      </w:r>
      <w:r w:rsidR="00D946A9" w:rsidRPr="00A56139">
        <w:rPr>
          <w:rFonts w:ascii="Arial" w:hAnsi="Arial" w:cs="Arial"/>
          <w:sz w:val="24"/>
          <w:szCs w:val="24"/>
        </w:rPr>
        <w:t>0</w:t>
      </w:r>
      <w:r w:rsidRPr="00A56139">
        <w:rPr>
          <w:rFonts w:ascii="Arial" w:hAnsi="Arial" w:cs="Arial"/>
          <w:sz w:val="24"/>
          <w:szCs w:val="24"/>
        </w:rPr>
        <w:t xml:space="preserve"> </w:t>
      </w:r>
      <w:r w:rsidR="00D90418" w:rsidRPr="00A56139">
        <w:rPr>
          <w:rFonts w:ascii="Arial" w:hAnsi="Arial" w:cs="Arial"/>
          <w:sz w:val="24"/>
          <w:szCs w:val="24"/>
        </w:rPr>
        <w:t xml:space="preserve">The data tables supporting this report </w:t>
      </w:r>
      <w:r w:rsidRPr="00A56139">
        <w:rPr>
          <w:rFonts w:ascii="Arial" w:hAnsi="Arial" w:cs="Arial"/>
          <w:sz w:val="24"/>
          <w:szCs w:val="24"/>
        </w:rPr>
        <w:t>list all sites with full planning permission that are included within the 5-year supply. Just over</w:t>
      </w:r>
      <w:r w:rsidR="00F10E12" w:rsidRPr="00A56139">
        <w:rPr>
          <w:rFonts w:ascii="Arial" w:hAnsi="Arial" w:cs="Arial"/>
          <w:sz w:val="24"/>
          <w:szCs w:val="24"/>
        </w:rPr>
        <w:t xml:space="preserve"> 9</w:t>
      </w:r>
      <w:r w:rsidR="00C31826" w:rsidRPr="00A56139">
        <w:rPr>
          <w:rFonts w:ascii="Arial" w:hAnsi="Arial" w:cs="Arial"/>
          <w:sz w:val="24"/>
          <w:szCs w:val="24"/>
        </w:rPr>
        <w:t>6.7</w:t>
      </w:r>
      <w:r w:rsidRPr="00A56139">
        <w:rPr>
          <w:rFonts w:ascii="Arial" w:hAnsi="Arial" w:cs="Arial"/>
          <w:sz w:val="24"/>
          <w:szCs w:val="24"/>
        </w:rPr>
        <w:t>% of homes in this category are on sites that are already under construction. Where sites have been assessed as actively under construction during summer 202</w:t>
      </w:r>
      <w:r w:rsidR="001B1281" w:rsidRPr="00A56139">
        <w:rPr>
          <w:rFonts w:ascii="Arial" w:hAnsi="Arial" w:cs="Arial"/>
          <w:sz w:val="24"/>
          <w:szCs w:val="24"/>
        </w:rPr>
        <w:t>5</w:t>
      </w:r>
      <w:r w:rsidRPr="00A56139">
        <w:rPr>
          <w:rFonts w:ascii="Arial" w:hAnsi="Arial" w:cs="Arial"/>
          <w:sz w:val="24"/>
          <w:szCs w:val="24"/>
        </w:rPr>
        <w:t xml:space="preserve">, </w:t>
      </w:r>
      <w:r w:rsidR="006B4D3D" w:rsidRPr="00A56139">
        <w:rPr>
          <w:rFonts w:ascii="Arial" w:hAnsi="Arial" w:cs="Arial"/>
          <w:sz w:val="24"/>
          <w:szCs w:val="24"/>
        </w:rPr>
        <w:t>the Council</w:t>
      </w:r>
      <w:r w:rsidRPr="00A56139">
        <w:rPr>
          <w:rFonts w:ascii="Arial" w:hAnsi="Arial" w:cs="Arial"/>
          <w:sz w:val="24"/>
          <w:szCs w:val="24"/>
        </w:rPr>
        <w:t xml:space="preserve"> consider</w:t>
      </w:r>
      <w:r w:rsidR="006B4D3D" w:rsidRPr="00A56139">
        <w:rPr>
          <w:rFonts w:ascii="Arial" w:hAnsi="Arial" w:cs="Arial"/>
          <w:sz w:val="24"/>
          <w:szCs w:val="24"/>
        </w:rPr>
        <w:t>s</w:t>
      </w:r>
      <w:r w:rsidRPr="00A56139">
        <w:rPr>
          <w:rFonts w:ascii="Arial" w:hAnsi="Arial" w:cs="Arial"/>
          <w:sz w:val="24"/>
          <w:szCs w:val="24"/>
        </w:rPr>
        <w:t xml:space="preserve"> that they will continue to completion unless there is evidence to suggest otherwise</w:t>
      </w:r>
      <w:r w:rsidR="00F10E12" w:rsidRPr="00A56139">
        <w:rPr>
          <w:rFonts w:ascii="Arial" w:hAnsi="Arial" w:cs="Arial"/>
          <w:sz w:val="24"/>
          <w:szCs w:val="24"/>
        </w:rPr>
        <w:t>.</w:t>
      </w:r>
    </w:p>
    <w:p w14:paraId="5DE476AA" w14:textId="37AC3183" w:rsidR="00C31826" w:rsidRPr="00A56139" w:rsidRDefault="00B274CE">
      <w:pPr>
        <w:rPr>
          <w:rFonts w:ascii="Arial" w:hAnsi="Arial" w:cs="Arial"/>
          <w:sz w:val="24"/>
          <w:szCs w:val="24"/>
        </w:rPr>
      </w:pPr>
      <w:r w:rsidRPr="00A56139">
        <w:rPr>
          <w:rFonts w:ascii="Arial" w:hAnsi="Arial" w:cs="Arial"/>
          <w:sz w:val="24"/>
          <w:szCs w:val="24"/>
        </w:rPr>
        <w:t>3.1</w:t>
      </w:r>
      <w:r w:rsidR="00D946A9" w:rsidRPr="00A56139">
        <w:rPr>
          <w:rFonts w:ascii="Arial" w:hAnsi="Arial" w:cs="Arial"/>
          <w:sz w:val="24"/>
          <w:szCs w:val="24"/>
        </w:rPr>
        <w:t>1</w:t>
      </w:r>
      <w:r w:rsidRPr="00A56139">
        <w:rPr>
          <w:rFonts w:ascii="Arial" w:hAnsi="Arial" w:cs="Arial"/>
          <w:sz w:val="24"/>
          <w:szCs w:val="24"/>
        </w:rPr>
        <w:t xml:space="preserve"> Small sites with planning permission are included in the 5-year supply</w:t>
      </w:r>
      <w:r w:rsidR="00C31826" w:rsidRPr="00A56139">
        <w:rPr>
          <w:rFonts w:ascii="Arial" w:hAnsi="Arial" w:cs="Arial"/>
          <w:sz w:val="24"/>
          <w:szCs w:val="24"/>
        </w:rPr>
        <w:t>.</w:t>
      </w:r>
      <w:r w:rsidR="00B20CA7" w:rsidRPr="00A56139">
        <w:rPr>
          <w:rFonts w:ascii="Arial" w:hAnsi="Arial" w:cs="Arial"/>
          <w:sz w:val="24"/>
          <w:szCs w:val="24"/>
        </w:rPr>
        <w:t xml:space="preserve">  </w:t>
      </w:r>
      <w:r w:rsidRPr="00A56139">
        <w:rPr>
          <w:rFonts w:ascii="Arial" w:hAnsi="Arial" w:cs="Arial"/>
          <w:sz w:val="24"/>
          <w:szCs w:val="24"/>
        </w:rPr>
        <w:t xml:space="preserve">Table 1 </w:t>
      </w:r>
      <w:r w:rsidR="00C31826" w:rsidRPr="00A56139">
        <w:rPr>
          <w:rFonts w:ascii="Arial" w:hAnsi="Arial" w:cs="Arial"/>
          <w:sz w:val="24"/>
          <w:szCs w:val="24"/>
        </w:rPr>
        <w:t xml:space="preserve">details the </w:t>
      </w:r>
      <w:r w:rsidR="00D946A9" w:rsidRPr="00A56139">
        <w:rPr>
          <w:rFonts w:ascii="Arial" w:hAnsi="Arial" w:cs="Arial"/>
          <w:sz w:val="24"/>
          <w:szCs w:val="24"/>
        </w:rPr>
        <w:t>extant</w:t>
      </w:r>
      <w:r w:rsidR="00C31826" w:rsidRPr="00A56139">
        <w:rPr>
          <w:rFonts w:ascii="Arial" w:hAnsi="Arial" w:cs="Arial"/>
          <w:sz w:val="24"/>
          <w:szCs w:val="24"/>
        </w:rPr>
        <w:t xml:space="preserve"> small site commitments at 01/04/2025.</w:t>
      </w:r>
      <w:r w:rsidR="00B20CA7" w:rsidRPr="00A56139">
        <w:rPr>
          <w:rFonts w:ascii="Arial" w:hAnsi="Arial" w:cs="Arial"/>
          <w:sz w:val="24"/>
          <w:szCs w:val="24"/>
        </w:rPr>
        <w:t xml:space="preserve">  As agreed at the SHLAA </w:t>
      </w:r>
      <w:r w:rsidR="00B20CA7" w:rsidRPr="00A56139">
        <w:rPr>
          <w:rFonts w:ascii="Arial" w:hAnsi="Arial" w:cs="Arial"/>
          <w:sz w:val="24"/>
          <w:szCs w:val="24"/>
        </w:rPr>
        <w:lastRenderedPageBreak/>
        <w:t>working group</w:t>
      </w:r>
      <w:r w:rsidR="00D946A9" w:rsidRPr="00A56139">
        <w:rPr>
          <w:rFonts w:ascii="Arial" w:hAnsi="Arial" w:cs="Arial"/>
          <w:sz w:val="24"/>
          <w:szCs w:val="24"/>
        </w:rPr>
        <w:t xml:space="preserve">, at examination of the Sites and Policies </w:t>
      </w:r>
      <w:r w:rsidR="00D90418" w:rsidRPr="00A56139">
        <w:rPr>
          <w:rFonts w:ascii="Arial" w:hAnsi="Arial" w:cs="Arial"/>
          <w:sz w:val="24"/>
          <w:szCs w:val="24"/>
        </w:rPr>
        <w:t>D</w:t>
      </w:r>
      <w:r w:rsidR="00D946A9" w:rsidRPr="00A56139">
        <w:rPr>
          <w:rFonts w:ascii="Arial" w:hAnsi="Arial" w:cs="Arial"/>
          <w:sz w:val="24"/>
          <w:szCs w:val="24"/>
        </w:rPr>
        <w:t>ocument,</w:t>
      </w:r>
      <w:r w:rsidR="00B20CA7" w:rsidRPr="00A56139">
        <w:rPr>
          <w:rFonts w:ascii="Arial" w:hAnsi="Arial" w:cs="Arial"/>
          <w:sz w:val="24"/>
          <w:szCs w:val="24"/>
        </w:rPr>
        <w:t xml:space="preserve"> only 70% of small windfall site commitments are counted in the </w:t>
      </w:r>
      <w:r w:rsidR="00D946A9" w:rsidRPr="00A56139">
        <w:rPr>
          <w:rFonts w:ascii="Arial" w:hAnsi="Arial" w:cs="Arial"/>
          <w:sz w:val="24"/>
          <w:szCs w:val="24"/>
        </w:rPr>
        <w:t xml:space="preserve">first three years of the </w:t>
      </w:r>
      <w:r w:rsidR="00B20CA7" w:rsidRPr="00A56139">
        <w:rPr>
          <w:rFonts w:ascii="Arial" w:hAnsi="Arial" w:cs="Arial"/>
          <w:sz w:val="24"/>
          <w:szCs w:val="24"/>
        </w:rPr>
        <w:t>five-year supply.</w:t>
      </w:r>
    </w:p>
    <w:tbl>
      <w:tblPr>
        <w:tblW w:w="9771" w:type="dxa"/>
        <w:tblLayout w:type="fixed"/>
        <w:tblCellMar>
          <w:top w:w="57" w:type="dxa"/>
          <w:bottom w:w="57" w:type="dxa"/>
        </w:tblCellMar>
        <w:tblLook w:val="04A0" w:firstRow="1" w:lastRow="0" w:firstColumn="1" w:lastColumn="0" w:noHBand="0" w:noVBand="1"/>
      </w:tblPr>
      <w:tblGrid>
        <w:gridCol w:w="2218"/>
        <w:gridCol w:w="1316"/>
        <w:gridCol w:w="1701"/>
        <w:gridCol w:w="1559"/>
        <w:gridCol w:w="1701"/>
        <w:gridCol w:w="1276"/>
      </w:tblGrid>
      <w:tr w:rsidR="00C823E0" w:rsidRPr="00620914" w14:paraId="60BCDD8F" w14:textId="77777777" w:rsidTr="006D080C">
        <w:trPr>
          <w:trHeight w:val="707"/>
        </w:trPr>
        <w:tc>
          <w:tcPr>
            <w:tcW w:w="9771" w:type="dxa"/>
            <w:gridSpan w:val="6"/>
            <w:tcBorders>
              <w:top w:val="single" w:sz="8" w:space="0" w:color="auto"/>
              <w:left w:val="single" w:sz="8" w:space="0" w:color="auto"/>
              <w:bottom w:val="nil"/>
              <w:right w:val="single" w:sz="8" w:space="0" w:color="000000"/>
            </w:tcBorders>
            <w:shd w:val="clear" w:color="auto" w:fill="auto"/>
            <w:vAlign w:val="center"/>
            <w:hideMark/>
          </w:tcPr>
          <w:p w14:paraId="7AB6CABF" w14:textId="55D585AF" w:rsidR="00C31826" w:rsidRPr="00620914" w:rsidRDefault="00C31826" w:rsidP="00C31826">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 xml:space="preserve">Table 1: Remaining </w:t>
            </w:r>
            <w:r w:rsidR="006A5944"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 xml:space="preserve">mall </w:t>
            </w:r>
            <w:r w:rsidR="006A5944"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 xml:space="preserve">ite </w:t>
            </w:r>
            <w:r w:rsidR="006A5944" w:rsidRPr="00620914">
              <w:rPr>
                <w:rFonts w:ascii="Arial" w:eastAsia="Times New Roman" w:hAnsi="Arial" w:cs="Arial"/>
                <w:b/>
                <w:bCs/>
                <w:sz w:val="22"/>
                <w:szCs w:val="22"/>
                <w:lang w:eastAsia="en-GB"/>
              </w:rPr>
              <w:t>c</w:t>
            </w:r>
            <w:r w:rsidRPr="00620914">
              <w:rPr>
                <w:rFonts w:ascii="Arial" w:eastAsia="Times New Roman" w:hAnsi="Arial" w:cs="Arial"/>
                <w:b/>
                <w:bCs/>
                <w:sz w:val="22"/>
                <w:szCs w:val="22"/>
                <w:lang w:eastAsia="en-GB"/>
              </w:rPr>
              <w:t>ommitments 01/04/2025</w:t>
            </w:r>
          </w:p>
          <w:p w14:paraId="72DF36D7" w14:textId="0A41C425" w:rsidR="00C31826" w:rsidRPr="00620914" w:rsidRDefault="00C31826" w:rsidP="00C31826">
            <w:pPr>
              <w:pStyle w:val="ListParagraph"/>
              <w:numPr>
                <w:ilvl w:val="0"/>
                <w:numId w:val="1"/>
              </w:num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New </w:t>
            </w:r>
            <w:r w:rsidR="006A5944" w:rsidRPr="00620914">
              <w:rPr>
                <w:rFonts w:ascii="Arial" w:eastAsia="Times New Roman" w:hAnsi="Arial" w:cs="Arial"/>
                <w:sz w:val="22"/>
                <w:szCs w:val="22"/>
                <w:lang w:eastAsia="en-GB"/>
              </w:rPr>
              <w:t>p</w:t>
            </w:r>
            <w:r w:rsidRPr="00620914">
              <w:rPr>
                <w:rFonts w:ascii="Arial" w:eastAsia="Times New Roman" w:hAnsi="Arial" w:cs="Arial"/>
                <w:sz w:val="22"/>
                <w:szCs w:val="22"/>
                <w:lang w:eastAsia="en-GB"/>
              </w:rPr>
              <w:t xml:space="preserve">lanning </w:t>
            </w:r>
            <w:r w:rsidR="006A5944" w:rsidRPr="00620914">
              <w:rPr>
                <w:rFonts w:ascii="Arial" w:eastAsia="Times New Roman" w:hAnsi="Arial" w:cs="Arial"/>
                <w:sz w:val="22"/>
                <w:szCs w:val="22"/>
                <w:lang w:eastAsia="en-GB"/>
              </w:rPr>
              <w:t>p</w:t>
            </w:r>
            <w:r w:rsidRPr="00620914">
              <w:rPr>
                <w:rFonts w:ascii="Arial" w:eastAsia="Times New Roman" w:hAnsi="Arial" w:cs="Arial"/>
                <w:sz w:val="22"/>
                <w:szCs w:val="22"/>
                <w:lang w:eastAsia="en-GB"/>
              </w:rPr>
              <w:t>ermissions granted from 01/04/2022</w:t>
            </w:r>
          </w:p>
          <w:p w14:paraId="47925140" w14:textId="2282BF16" w:rsidR="00C31826" w:rsidRPr="00620914" w:rsidRDefault="00C31826" w:rsidP="00C31826">
            <w:pPr>
              <w:pStyle w:val="ListParagraph"/>
              <w:numPr>
                <w:ilvl w:val="0"/>
                <w:numId w:val="1"/>
              </w:num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Extant </w:t>
            </w:r>
            <w:r w:rsidR="006A5944"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 xml:space="preserve">mall </w:t>
            </w:r>
            <w:r w:rsidR="006A5944"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 xml:space="preserve">ite </w:t>
            </w:r>
            <w:r w:rsidR="006A5944" w:rsidRPr="00620914">
              <w:rPr>
                <w:rFonts w:ascii="Arial" w:eastAsia="Times New Roman" w:hAnsi="Arial" w:cs="Arial"/>
                <w:sz w:val="22"/>
                <w:szCs w:val="22"/>
                <w:lang w:eastAsia="en-GB"/>
              </w:rPr>
              <w:t>c</w:t>
            </w:r>
            <w:r w:rsidRPr="00620914">
              <w:rPr>
                <w:rFonts w:ascii="Arial" w:eastAsia="Times New Roman" w:hAnsi="Arial" w:cs="Arial"/>
                <w:sz w:val="22"/>
                <w:szCs w:val="22"/>
                <w:lang w:eastAsia="en-GB"/>
              </w:rPr>
              <w:t>ommitments at 01/0</w:t>
            </w:r>
            <w:r w:rsidR="004A03A7" w:rsidRPr="00620914">
              <w:rPr>
                <w:rFonts w:ascii="Arial" w:eastAsia="Times New Roman" w:hAnsi="Arial" w:cs="Arial"/>
                <w:sz w:val="22"/>
                <w:szCs w:val="22"/>
                <w:lang w:eastAsia="en-GB"/>
              </w:rPr>
              <w:t>4</w:t>
            </w:r>
            <w:r w:rsidRPr="00620914">
              <w:rPr>
                <w:rFonts w:ascii="Arial" w:eastAsia="Times New Roman" w:hAnsi="Arial" w:cs="Arial"/>
                <w:sz w:val="22"/>
                <w:szCs w:val="22"/>
                <w:lang w:eastAsia="en-GB"/>
              </w:rPr>
              <w:t>/2025 not yet complete</w:t>
            </w:r>
          </w:p>
          <w:p w14:paraId="0E1F4593" w14:textId="2CCEB8FE" w:rsidR="00C31826" w:rsidRPr="00620914" w:rsidRDefault="00C31826" w:rsidP="00C31826">
            <w:pPr>
              <w:pStyle w:val="ListParagraph"/>
              <w:numPr>
                <w:ilvl w:val="0"/>
                <w:numId w:val="1"/>
              </w:numPr>
              <w:spacing w:after="0" w:line="240" w:lineRule="auto"/>
              <w:rPr>
                <w:rFonts w:ascii="Arial" w:eastAsia="Times New Roman" w:hAnsi="Arial" w:cs="Arial"/>
                <w:b/>
                <w:bCs/>
                <w:sz w:val="22"/>
                <w:szCs w:val="22"/>
                <w:lang w:eastAsia="en-GB"/>
              </w:rPr>
            </w:pPr>
            <w:r w:rsidRPr="00620914">
              <w:rPr>
                <w:rFonts w:ascii="Arial" w:eastAsia="Times New Roman" w:hAnsi="Arial" w:cs="Arial"/>
                <w:sz w:val="22"/>
                <w:szCs w:val="22"/>
                <w:lang w:eastAsia="en-GB"/>
              </w:rPr>
              <w:t>Completions 01/04/2022 – 31/03/2025</w:t>
            </w:r>
          </w:p>
        </w:tc>
      </w:tr>
      <w:tr w:rsidR="006D080C" w:rsidRPr="00620914" w14:paraId="65402B04" w14:textId="77777777" w:rsidTr="00C0033A">
        <w:tc>
          <w:tcPr>
            <w:tcW w:w="2218" w:type="dxa"/>
            <w:tcBorders>
              <w:top w:val="single" w:sz="8" w:space="0" w:color="auto"/>
              <w:left w:val="single" w:sz="8" w:space="0" w:color="auto"/>
              <w:bottom w:val="single" w:sz="8" w:space="0" w:color="auto"/>
              <w:right w:val="single" w:sz="4" w:space="0" w:color="auto"/>
            </w:tcBorders>
            <w:shd w:val="clear" w:color="auto" w:fill="auto"/>
            <w:vAlign w:val="bottom"/>
          </w:tcPr>
          <w:p w14:paraId="35C297CC" w14:textId="5D91DD35" w:rsidR="006D080C" w:rsidRPr="00620914" w:rsidRDefault="006D080C" w:rsidP="004A03A7">
            <w:pPr>
              <w:spacing w:after="0" w:line="240" w:lineRule="auto"/>
              <w:jc w:val="center"/>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(a)</w:t>
            </w:r>
          </w:p>
        </w:tc>
        <w:tc>
          <w:tcPr>
            <w:tcW w:w="1316" w:type="dxa"/>
            <w:tcBorders>
              <w:top w:val="single" w:sz="8" w:space="0" w:color="auto"/>
              <w:left w:val="nil"/>
              <w:bottom w:val="single" w:sz="8" w:space="0" w:color="auto"/>
              <w:right w:val="single" w:sz="4" w:space="0" w:color="auto"/>
            </w:tcBorders>
            <w:shd w:val="clear" w:color="auto" w:fill="auto"/>
            <w:vAlign w:val="bottom"/>
          </w:tcPr>
          <w:p w14:paraId="05463AD0" w14:textId="0884C5DB" w:rsidR="006D080C" w:rsidRPr="00620914" w:rsidRDefault="006D080C" w:rsidP="00EF31E2">
            <w:pPr>
              <w:spacing w:after="0" w:line="240" w:lineRule="auto"/>
              <w:jc w:val="center"/>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(b)</w:t>
            </w:r>
          </w:p>
        </w:tc>
        <w:tc>
          <w:tcPr>
            <w:tcW w:w="1701" w:type="dxa"/>
            <w:tcBorders>
              <w:top w:val="single" w:sz="8" w:space="0" w:color="auto"/>
              <w:left w:val="nil"/>
              <w:bottom w:val="single" w:sz="8" w:space="0" w:color="auto"/>
              <w:right w:val="single" w:sz="4" w:space="0" w:color="auto"/>
            </w:tcBorders>
            <w:shd w:val="clear" w:color="auto" w:fill="auto"/>
            <w:vAlign w:val="bottom"/>
          </w:tcPr>
          <w:p w14:paraId="724AFEE6" w14:textId="5EC47483" w:rsidR="006D080C" w:rsidRPr="00620914" w:rsidRDefault="006D080C" w:rsidP="00EF31E2">
            <w:pPr>
              <w:spacing w:after="0" w:line="240" w:lineRule="auto"/>
              <w:jc w:val="center"/>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(c)</w:t>
            </w:r>
          </w:p>
        </w:tc>
        <w:tc>
          <w:tcPr>
            <w:tcW w:w="1559" w:type="dxa"/>
            <w:tcBorders>
              <w:top w:val="single" w:sz="8" w:space="0" w:color="auto"/>
              <w:left w:val="nil"/>
              <w:bottom w:val="single" w:sz="8" w:space="0" w:color="auto"/>
              <w:right w:val="single" w:sz="4" w:space="0" w:color="auto"/>
            </w:tcBorders>
            <w:shd w:val="clear" w:color="auto" w:fill="auto"/>
            <w:vAlign w:val="bottom"/>
          </w:tcPr>
          <w:p w14:paraId="4221A661" w14:textId="746402DD" w:rsidR="006D080C" w:rsidRPr="00620914" w:rsidRDefault="006D080C" w:rsidP="00EF31E2">
            <w:pPr>
              <w:spacing w:after="0" w:line="240" w:lineRule="auto"/>
              <w:jc w:val="center"/>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(d)</w:t>
            </w:r>
          </w:p>
        </w:tc>
        <w:tc>
          <w:tcPr>
            <w:tcW w:w="1701" w:type="dxa"/>
            <w:tcBorders>
              <w:top w:val="single" w:sz="8" w:space="0" w:color="auto"/>
              <w:left w:val="nil"/>
              <w:bottom w:val="single" w:sz="8" w:space="0" w:color="auto"/>
              <w:right w:val="single" w:sz="4" w:space="0" w:color="auto"/>
            </w:tcBorders>
            <w:shd w:val="clear" w:color="auto" w:fill="auto"/>
            <w:vAlign w:val="bottom"/>
          </w:tcPr>
          <w:p w14:paraId="1FF8B593" w14:textId="01B01017" w:rsidR="006D080C" w:rsidRPr="00620914" w:rsidRDefault="006D080C" w:rsidP="00EF31E2">
            <w:pPr>
              <w:spacing w:after="0" w:line="240" w:lineRule="auto"/>
              <w:jc w:val="center"/>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(e)</w:t>
            </w:r>
          </w:p>
        </w:tc>
        <w:tc>
          <w:tcPr>
            <w:tcW w:w="1276" w:type="dxa"/>
            <w:tcBorders>
              <w:top w:val="single" w:sz="8" w:space="0" w:color="auto"/>
              <w:left w:val="nil"/>
              <w:bottom w:val="single" w:sz="8" w:space="0" w:color="auto"/>
              <w:right w:val="single" w:sz="8" w:space="0" w:color="auto"/>
            </w:tcBorders>
            <w:shd w:val="clear" w:color="auto" w:fill="auto"/>
            <w:vAlign w:val="bottom"/>
          </w:tcPr>
          <w:p w14:paraId="235A962E" w14:textId="3EF26476" w:rsidR="006D080C" w:rsidRPr="00620914" w:rsidRDefault="006D080C" w:rsidP="00EF31E2">
            <w:pPr>
              <w:spacing w:after="0" w:line="240" w:lineRule="auto"/>
              <w:jc w:val="center"/>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(f)</w:t>
            </w:r>
          </w:p>
        </w:tc>
      </w:tr>
      <w:tr w:rsidR="00C823E0" w:rsidRPr="00620914" w14:paraId="384ABFB7" w14:textId="77777777" w:rsidTr="00C0033A">
        <w:trPr>
          <w:trHeight w:val="808"/>
        </w:trPr>
        <w:tc>
          <w:tcPr>
            <w:tcW w:w="2218" w:type="dxa"/>
            <w:tcBorders>
              <w:top w:val="single" w:sz="8" w:space="0" w:color="auto"/>
              <w:left w:val="single" w:sz="8" w:space="0" w:color="auto"/>
              <w:bottom w:val="single" w:sz="8" w:space="0" w:color="auto"/>
              <w:right w:val="single" w:sz="4" w:space="0" w:color="auto"/>
            </w:tcBorders>
            <w:shd w:val="clear" w:color="auto" w:fill="auto"/>
            <w:hideMark/>
          </w:tcPr>
          <w:p w14:paraId="488CA9E4" w14:textId="208CE155" w:rsidR="00C31826" w:rsidRPr="00620914" w:rsidRDefault="006D080C" w:rsidP="006A5944">
            <w:pPr>
              <w:spacing w:after="0" w:line="240" w:lineRule="auto"/>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Local Plan settlement grouping</w:t>
            </w:r>
          </w:p>
        </w:tc>
        <w:tc>
          <w:tcPr>
            <w:tcW w:w="1316" w:type="dxa"/>
            <w:tcBorders>
              <w:top w:val="single" w:sz="8" w:space="0" w:color="auto"/>
              <w:left w:val="nil"/>
              <w:bottom w:val="single" w:sz="8" w:space="0" w:color="auto"/>
              <w:right w:val="single" w:sz="4" w:space="0" w:color="auto"/>
            </w:tcBorders>
            <w:shd w:val="clear" w:color="auto" w:fill="auto"/>
            <w:hideMark/>
          </w:tcPr>
          <w:p w14:paraId="575E5BBB" w14:textId="77E5DAEF" w:rsidR="00C31826" w:rsidRPr="00620914" w:rsidRDefault="00C31826" w:rsidP="006A5944">
            <w:pPr>
              <w:spacing w:after="0" w:line="240" w:lineRule="auto"/>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 xml:space="preserve">100% New PP </w:t>
            </w:r>
            <w:r w:rsidR="006D080C" w:rsidRPr="00620914">
              <w:rPr>
                <w:rFonts w:ascii="Arial" w:eastAsia="Times New Roman" w:hAnsi="Arial" w:cs="Arial"/>
                <w:b/>
                <w:bCs/>
                <w:sz w:val="20"/>
                <w:szCs w:val="20"/>
                <w:lang w:eastAsia="en-GB"/>
              </w:rPr>
              <w:t>g</w:t>
            </w:r>
            <w:r w:rsidRPr="00620914">
              <w:rPr>
                <w:rFonts w:ascii="Arial" w:eastAsia="Times New Roman" w:hAnsi="Arial" w:cs="Arial"/>
                <w:b/>
                <w:bCs/>
                <w:sz w:val="20"/>
                <w:szCs w:val="20"/>
                <w:lang w:eastAsia="en-GB"/>
              </w:rPr>
              <w:t>ranted 2022-25</w:t>
            </w:r>
          </w:p>
        </w:tc>
        <w:tc>
          <w:tcPr>
            <w:tcW w:w="1701" w:type="dxa"/>
            <w:tcBorders>
              <w:top w:val="single" w:sz="8" w:space="0" w:color="auto"/>
              <w:left w:val="nil"/>
              <w:bottom w:val="single" w:sz="8" w:space="0" w:color="auto"/>
              <w:right w:val="single" w:sz="4" w:space="0" w:color="auto"/>
            </w:tcBorders>
            <w:shd w:val="clear" w:color="auto" w:fill="auto"/>
            <w:hideMark/>
          </w:tcPr>
          <w:p w14:paraId="59F1EED9" w14:textId="34B54BF1" w:rsidR="00C31826" w:rsidRPr="00620914" w:rsidRDefault="00C31826" w:rsidP="006A5944">
            <w:pPr>
              <w:spacing w:after="0" w:line="240" w:lineRule="auto"/>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 xml:space="preserve">Existing </w:t>
            </w:r>
            <w:r w:rsidR="006D080C" w:rsidRPr="00620914">
              <w:rPr>
                <w:rFonts w:ascii="Arial" w:eastAsia="Times New Roman" w:hAnsi="Arial" w:cs="Arial"/>
                <w:b/>
                <w:bCs/>
                <w:sz w:val="20"/>
                <w:szCs w:val="20"/>
                <w:lang w:eastAsia="en-GB"/>
              </w:rPr>
              <w:t>c</w:t>
            </w:r>
            <w:r w:rsidRPr="00620914">
              <w:rPr>
                <w:rFonts w:ascii="Arial" w:eastAsia="Times New Roman" w:hAnsi="Arial" w:cs="Arial"/>
                <w:b/>
                <w:bCs/>
                <w:sz w:val="20"/>
                <w:szCs w:val="20"/>
                <w:lang w:eastAsia="en-GB"/>
              </w:rPr>
              <w:t>ommitment</w:t>
            </w:r>
            <w:r w:rsidR="00304CEC" w:rsidRPr="00620914">
              <w:rPr>
                <w:rFonts w:ascii="Arial" w:eastAsia="Times New Roman" w:hAnsi="Arial" w:cs="Arial"/>
                <w:b/>
                <w:bCs/>
                <w:sz w:val="20"/>
                <w:szCs w:val="20"/>
                <w:lang w:eastAsia="en-GB"/>
              </w:rPr>
              <w:t>s</w:t>
            </w:r>
            <w:r w:rsidR="006A5944" w:rsidRPr="00620914">
              <w:rPr>
                <w:rFonts w:ascii="Arial" w:eastAsia="Times New Roman" w:hAnsi="Arial" w:cs="Arial"/>
                <w:b/>
                <w:bCs/>
                <w:sz w:val="20"/>
                <w:szCs w:val="20"/>
                <w:lang w:eastAsia="en-GB"/>
              </w:rPr>
              <w:t xml:space="preserve"> </w:t>
            </w:r>
            <w:r w:rsidRPr="00620914">
              <w:rPr>
                <w:rFonts w:ascii="Arial" w:eastAsia="Times New Roman" w:hAnsi="Arial" w:cs="Arial"/>
                <w:b/>
                <w:bCs/>
                <w:sz w:val="20"/>
                <w:szCs w:val="20"/>
                <w:lang w:eastAsia="en-GB"/>
              </w:rPr>
              <w:t>post 31/03/2025</w:t>
            </w:r>
          </w:p>
        </w:tc>
        <w:tc>
          <w:tcPr>
            <w:tcW w:w="1559" w:type="dxa"/>
            <w:tcBorders>
              <w:top w:val="single" w:sz="8" w:space="0" w:color="auto"/>
              <w:left w:val="nil"/>
              <w:bottom w:val="single" w:sz="8" w:space="0" w:color="auto"/>
              <w:right w:val="single" w:sz="4" w:space="0" w:color="auto"/>
            </w:tcBorders>
            <w:shd w:val="clear" w:color="auto" w:fill="auto"/>
            <w:hideMark/>
          </w:tcPr>
          <w:p w14:paraId="3164D379" w14:textId="2202ADE9" w:rsidR="00C31826" w:rsidRPr="00620914" w:rsidRDefault="00C31826" w:rsidP="006A5944">
            <w:pPr>
              <w:spacing w:after="0" w:line="240" w:lineRule="auto"/>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Completions 2022-2025</w:t>
            </w:r>
          </w:p>
        </w:tc>
        <w:tc>
          <w:tcPr>
            <w:tcW w:w="1701" w:type="dxa"/>
            <w:tcBorders>
              <w:top w:val="single" w:sz="8" w:space="0" w:color="auto"/>
              <w:left w:val="nil"/>
              <w:bottom w:val="single" w:sz="8" w:space="0" w:color="auto"/>
              <w:right w:val="single" w:sz="4" w:space="0" w:color="auto"/>
            </w:tcBorders>
            <w:shd w:val="clear" w:color="auto" w:fill="auto"/>
            <w:hideMark/>
          </w:tcPr>
          <w:p w14:paraId="04119E3B" w14:textId="2EA2FC34" w:rsidR="00C31826" w:rsidRPr="00620914" w:rsidRDefault="00C31826" w:rsidP="006A5944">
            <w:pPr>
              <w:spacing w:after="0" w:line="240" w:lineRule="auto"/>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 xml:space="preserve">Remaining </w:t>
            </w:r>
            <w:r w:rsidR="006D080C" w:rsidRPr="00620914">
              <w:rPr>
                <w:rFonts w:ascii="Arial" w:eastAsia="Times New Roman" w:hAnsi="Arial" w:cs="Arial"/>
                <w:b/>
                <w:bCs/>
                <w:sz w:val="20"/>
                <w:szCs w:val="20"/>
                <w:lang w:eastAsia="en-GB"/>
              </w:rPr>
              <w:t>s</w:t>
            </w:r>
            <w:r w:rsidRPr="00620914">
              <w:rPr>
                <w:rFonts w:ascii="Arial" w:eastAsia="Times New Roman" w:hAnsi="Arial" w:cs="Arial"/>
                <w:b/>
                <w:bCs/>
                <w:sz w:val="20"/>
                <w:szCs w:val="20"/>
                <w:lang w:eastAsia="en-GB"/>
              </w:rPr>
              <w:t xml:space="preserve">mall </w:t>
            </w:r>
            <w:r w:rsidR="006D080C" w:rsidRPr="00620914">
              <w:rPr>
                <w:rFonts w:ascii="Arial" w:eastAsia="Times New Roman" w:hAnsi="Arial" w:cs="Arial"/>
                <w:b/>
                <w:bCs/>
                <w:sz w:val="20"/>
                <w:szCs w:val="20"/>
                <w:lang w:eastAsia="en-GB"/>
              </w:rPr>
              <w:t>s</w:t>
            </w:r>
            <w:r w:rsidRPr="00620914">
              <w:rPr>
                <w:rFonts w:ascii="Arial" w:eastAsia="Times New Roman" w:hAnsi="Arial" w:cs="Arial"/>
                <w:b/>
                <w:bCs/>
                <w:sz w:val="20"/>
                <w:szCs w:val="20"/>
                <w:lang w:eastAsia="en-GB"/>
              </w:rPr>
              <w:t xml:space="preserve">ite </w:t>
            </w:r>
            <w:r w:rsidR="006D080C" w:rsidRPr="00620914">
              <w:rPr>
                <w:rFonts w:ascii="Arial" w:eastAsia="Times New Roman" w:hAnsi="Arial" w:cs="Arial"/>
                <w:b/>
                <w:bCs/>
                <w:sz w:val="20"/>
                <w:szCs w:val="20"/>
                <w:lang w:eastAsia="en-GB"/>
              </w:rPr>
              <w:t>c</w:t>
            </w:r>
            <w:r w:rsidRPr="00620914">
              <w:rPr>
                <w:rFonts w:ascii="Arial" w:eastAsia="Times New Roman" w:hAnsi="Arial" w:cs="Arial"/>
                <w:b/>
                <w:bCs/>
                <w:sz w:val="20"/>
                <w:szCs w:val="20"/>
                <w:lang w:eastAsia="en-GB"/>
              </w:rPr>
              <w:t>ommitments</w:t>
            </w:r>
            <w:r w:rsidR="00181CCF" w:rsidRPr="00620914">
              <w:rPr>
                <w:rFonts w:ascii="Arial" w:eastAsia="Times New Roman" w:hAnsi="Arial" w:cs="Arial"/>
                <w:b/>
                <w:bCs/>
                <w:sz w:val="20"/>
                <w:szCs w:val="20"/>
                <w:lang w:eastAsia="en-GB"/>
              </w:rPr>
              <w:t xml:space="preserve"> (b + c) - d</w:t>
            </w:r>
          </w:p>
        </w:tc>
        <w:tc>
          <w:tcPr>
            <w:tcW w:w="1276" w:type="dxa"/>
            <w:tcBorders>
              <w:top w:val="single" w:sz="8" w:space="0" w:color="auto"/>
              <w:left w:val="nil"/>
              <w:bottom w:val="single" w:sz="8" w:space="0" w:color="auto"/>
              <w:right w:val="single" w:sz="8" w:space="0" w:color="auto"/>
            </w:tcBorders>
            <w:shd w:val="clear" w:color="auto" w:fill="auto"/>
            <w:hideMark/>
          </w:tcPr>
          <w:p w14:paraId="32EFE5AC" w14:textId="7CC520BD" w:rsidR="00C31826" w:rsidRPr="00620914" w:rsidRDefault="00C31826" w:rsidP="006A5944">
            <w:pPr>
              <w:spacing w:after="0" w:line="240" w:lineRule="auto"/>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 xml:space="preserve">70% of </w:t>
            </w:r>
            <w:r w:rsidR="006D080C" w:rsidRPr="00620914">
              <w:rPr>
                <w:rFonts w:ascii="Arial" w:eastAsia="Times New Roman" w:hAnsi="Arial" w:cs="Arial"/>
                <w:b/>
                <w:bCs/>
                <w:sz w:val="20"/>
                <w:szCs w:val="20"/>
                <w:lang w:eastAsia="en-GB"/>
              </w:rPr>
              <w:t>s</w:t>
            </w:r>
            <w:r w:rsidRPr="00620914">
              <w:rPr>
                <w:rFonts w:ascii="Arial" w:eastAsia="Times New Roman" w:hAnsi="Arial" w:cs="Arial"/>
                <w:b/>
                <w:bCs/>
                <w:sz w:val="20"/>
                <w:szCs w:val="20"/>
                <w:lang w:eastAsia="en-GB"/>
              </w:rPr>
              <w:t xml:space="preserve">mall </w:t>
            </w:r>
            <w:r w:rsidR="006D080C" w:rsidRPr="00620914">
              <w:rPr>
                <w:rFonts w:ascii="Arial" w:eastAsia="Times New Roman" w:hAnsi="Arial" w:cs="Arial"/>
                <w:b/>
                <w:bCs/>
                <w:sz w:val="20"/>
                <w:szCs w:val="20"/>
                <w:lang w:eastAsia="en-GB"/>
              </w:rPr>
              <w:t>s</w:t>
            </w:r>
            <w:r w:rsidRPr="00620914">
              <w:rPr>
                <w:rFonts w:ascii="Arial" w:eastAsia="Times New Roman" w:hAnsi="Arial" w:cs="Arial"/>
                <w:b/>
                <w:bCs/>
                <w:sz w:val="20"/>
                <w:szCs w:val="20"/>
                <w:lang w:eastAsia="en-GB"/>
              </w:rPr>
              <w:t xml:space="preserve">ite </w:t>
            </w:r>
            <w:r w:rsidR="006D080C" w:rsidRPr="00620914">
              <w:rPr>
                <w:rFonts w:ascii="Arial" w:eastAsia="Times New Roman" w:hAnsi="Arial" w:cs="Arial"/>
                <w:b/>
                <w:bCs/>
                <w:sz w:val="20"/>
                <w:szCs w:val="20"/>
                <w:lang w:eastAsia="en-GB"/>
              </w:rPr>
              <w:t>c</w:t>
            </w:r>
            <w:r w:rsidRPr="00620914">
              <w:rPr>
                <w:rFonts w:ascii="Arial" w:eastAsia="Times New Roman" w:hAnsi="Arial" w:cs="Arial"/>
                <w:b/>
                <w:bCs/>
                <w:sz w:val="20"/>
                <w:szCs w:val="20"/>
                <w:lang w:eastAsia="en-GB"/>
              </w:rPr>
              <w:t>ommitments</w:t>
            </w:r>
          </w:p>
        </w:tc>
      </w:tr>
      <w:tr w:rsidR="00C823E0" w:rsidRPr="00620914" w14:paraId="1BC8394A"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26A9AD38"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Aston, Aughton and Swallownest</w:t>
            </w:r>
          </w:p>
        </w:tc>
        <w:tc>
          <w:tcPr>
            <w:tcW w:w="1316" w:type="dxa"/>
            <w:tcBorders>
              <w:top w:val="nil"/>
              <w:left w:val="nil"/>
              <w:bottom w:val="single" w:sz="4" w:space="0" w:color="auto"/>
              <w:right w:val="single" w:sz="4" w:space="0" w:color="auto"/>
            </w:tcBorders>
            <w:shd w:val="clear" w:color="auto" w:fill="auto"/>
            <w:noWrap/>
            <w:vAlign w:val="bottom"/>
            <w:hideMark/>
          </w:tcPr>
          <w:p w14:paraId="5666F9BC"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16</w:t>
            </w:r>
          </w:p>
        </w:tc>
        <w:tc>
          <w:tcPr>
            <w:tcW w:w="1701" w:type="dxa"/>
            <w:tcBorders>
              <w:top w:val="nil"/>
              <w:left w:val="nil"/>
              <w:bottom w:val="single" w:sz="4" w:space="0" w:color="auto"/>
              <w:right w:val="single" w:sz="4" w:space="0" w:color="auto"/>
            </w:tcBorders>
            <w:shd w:val="clear" w:color="auto" w:fill="auto"/>
            <w:noWrap/>
            <w:vAlign w:val="bottom"/>
            <w:hideMark/>
          </w:tcPr>
          <w:p w14:paraId="47878A92"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22</w:t>
            </w:r>
          </w:p>
        </w:tc>
        <w:tc>
          <w:tcPr>
            <w:tcW w:w="1559" w:type="dxa"/>
            <w:tcBorders>
              <w:top w:val="nil"/>
              <w:left w:val="nil"/>
              <w:bottom w:val="single" w:sz="4" w:space="0" w:color="auto"/>
              <w:right w:val="single" w:sz="4" w:space="0" w:color="auto"/>
            </w:tcBorders>
            <w:shd w:val="clear" w:color="auto" w:fill="auto"/>
            <w:noWrap/>
            <w:vAlign w:val="bottom"/>
            <w:hideMark/>
          </w:tcPr>
          <w:p w14:paraId="35DBE4BF"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11</w:t>
            </w:r>
          </w:p>
        </w:tc>
        <w:tc>
          <w:tcPr>
            <w:tcW w:w="1701" w:type="dxa"/>
            <w:tcBorders>
              <w:top w:val="nil"/>
              <w:left w:val="nil"/>
              <w:bottom w:val="single" w:sz="4" w:space="0" w:color="auto"/>
              <w:right w:val="single" w:sz="4" w:space="0" w:color="auto"/>
            </w:tcBorders>
            <w:shd w:val="clear" w:color="auto" w:fill="auto"/>
            <w:noWrap/>
            <w:vAlign w:val="bottom"/>
            <w:hideMark/>
          </w:tcPr>
          <w:p w14:paraId="4FE347D5"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27</w:t>
            </w:r>
          </w:p>
        </w:tc>
        <w:tc>
          <w:tcPr>
            <w:tcW w:w="1276" w:type="dxa"/>
            <w:tcBorders>
              <w:top w:val="nil"/>
              <w:left w:val="nil"/>
              <w:bottom w:val="single" w:sz="4" w:space="0" w:color="auto"/>
              <w:right w:val="single" w:sz="8" w:space="0" w:color="auto"/>
            </w:tcBorders>
            <w:shd w:val="clear" w:color="auto" w:fill="auto"/>
            <w:noWrap/>
            <w:vAlign w:val="bottom"/>
            <w:hideMark/>
          </w:tcPr>
          <w:p w14:paraId="5D47850D"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19</w:t>
            </w:r>
          </w:p>
        </w:tc>
      </w:tr>
      <w:tr w:rsidR="00C823E0" w:rsidRPr="00620914" w14:paraId="3DC2CF23"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6B4A7F22"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Bassingthorpe Farm</w:t>
            </w:r>
          </w:p>
        </w:tc>
        <w:tc>
          <w:tcPr>
            <w:tcW w:w="1316" w:type="dxa"/>
            <w:tcBorders>
              <w:top w:val="nil"/>
              <w:left w:val="nil"/>
              <w:bottom w:val="single" w:sz="4" w:space="0" w:color="auto"/>
              <w:right w:val="single" w:sz="4" w:space="0" w:color="auto"/>
            </w:tcBorders>
            <w:shd w:val="clear" w:color="auto" w:fill="auto"/>
            <w:noWrap/>
            <w:vAlign w:val="bottom"/>
            <w:hideMark/>
          </w:tcPr>
          <w:p w14:paraId="23FC1E7C"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14:paraId="1A2A3A84"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559" w:type="dxa"/>
            <w:tcBorders>
              <w:top w:val="nil"/>
              <w:left w:val="nil"/>
              <w:bottom w:val="single" w:sz="4" w:space="0" w:color="auto"/>
              <w:right w:val="single" w:sz="4" w:space="0" w:color="auto"/>
            </w:tcBorders>
            <w:shd w:val="clear" w:color="auto" w:fill="auto"/>
            <w:noWrap/>
            <w:vAlign w:val="bottom"/>
            <w:hideMark/>
          </w:tcPr>
          <w:p w14:paraId="611387A8"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14:paraId="45483097"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276" w:type="dxa"/>
            <w:tcBorders>
              <w:top w:val="nil"/>
              <w:left w:val="nil"/>
              <w:bottom w:val="single" w:sz="4" w:space="0" w:color="auto"/>
              <w:right w:val="single" w:sz="8" w:space="0" w:color="auto"/>
            </w:tcBorders>
            <w:shd w:val="clear" w:color="auto" w:fill="auto"/>
            <w:noWrap/>
            <w:vAlign w:val="bottom"/>
            <w:hideMark/>
          </w:tcPr>
          <w:p w14:paraId="7D7CF4A8"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r>
      <w:tr w:rsidR="00C823E0" w:rsidRPr="00620914" w14:paraId="161C6060"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75914029"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Catcliffe, Orgreave, Treeton</w:t>
            </w:r>
          </w:p>
        </w:tc>
        <w:tc>
          <w:tcPr>
            <w:tcW w:w="1316" w:type="dxa"/>
            <w:tcBorders>
              <w:top w:val="nil"/>
              <w:left w:val="nil"/>
              <w:bottom w:val="single" w:sz="4" w:space="0" w:color="auto"/>
              <w:right w:val="single" w:sz="4" w:space="0" w:color="auto"/>
            </w:tcBorders>
            <w:shd w:val="clear" w:color="auto" w:fill="auto"/>
            <w:noWrap/>
            <w:vAlign w:val="bottom"/>
            <w:hideMark/>
          </w:tcPr>
          <w:p w14:paraId="60576BEA"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w:t>
            </w:r>
          </w:p>
        </w:tc>
        <w:tc>
          <w:tcPr>
            <w:tcW w:w="1701" w:type="dxa"/>
            <w:tcBorders>
              <w:top w:val="nil"/>
              <w:left w:val="nil"/>
              <w:bottom w:val="single" w:sz="4" w:space="0" w:color="auto"/>
              <w:right w:val="single" w:sz="4" w:space="0" w:color="auto"/>
            </w:tcBorders>
            <w:shd w:val="clear" w:color="auto" w:fill="auto"/>
            <w:noWrap/>
            <w:vAlign w:val="bottom"/>
            <w:hideMark/>
          </w:tcPr>
          <w:p w14:paraId="14D3D623"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5</w:t>
            </w:r>
          </w:p>
        </w:tc>
        <w:tc>
          <w:tcPr>
            <w:tcW w:w="1559" w:type="dxa"/>
            <w:tcBorders>
              <w:top w:val="nil"/>
              <w:left w:val="nil"/>
              <w:bottom w:val="single" w:sz="4" w:space="0" w:color="auto"/>
              <w:right w:val="single" w:sz="4" w:space="0" w:color="auto"/>
            </w:tcBorders>
            <w:shd w:val="clear" w:color="auto" w:fill="auto"/>
            <w:noWrap/>
            <w:vAlign w:val="bottom"/>
            <w:hideMark/>
          </w:tcPr>
          <w:p w14:paraId="1DCAC64C"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w:t>
            </w:r>
          </w:p>
        </w:tc>
        <w:tc>
          <w:tcPr>
            <w:tcW w:w="1701" w:type="dxa"/>
            <w:tcBorders>
              <w:top w:val="nil"/>
              <w:left w:val="nil"/>
              <w:bottom w:val="single" w:sz="4" w:space="0" w:color="auto"/>
              <w:right w:val="single" w:sz="4" w:space="0" w:color="auto"/>
            </w:tcBorders>
            <w:shd w:val="clear" w:color="auto" w:fill="auto"/>
            <w:noWrap/>
            <w:vAlign w:val="bottom"/>
            <w:hideMark/>
          </w:tcPr>
          <w:p w14:paraId="07261353"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w:t>
            </w:r>
          </w:p>
        </w:tc>
        <w:tc>
          <w:tcPr>
            <w:tcW w:w="1276" w:type="dxa"/>
            <w:tcBorders>
              <w:top w:val="nil"/>
              <w:left w:val="nil"/>
              <w:bottom w:val="single" w:sz="4" w:space="0" w:color="auto"/>
              <w:right w:val="single" w:sz="8" w:space="0" w:color="auto"/>
            </w:tcBorders>
            <w:shd w:val="clear" w:color="auto" w:fill="auto"/>
            <w:noWrap/>
            <w:vAlign w:val="bottom"/>
            <w:hideMark/>
          </w:tcPr>
          <w:p w14:paraId="5AC01617"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w:t>
            </w:r>
          </w:p>
        </w:tc>
      </w:tr>
      <w:tr w:rsidR="00C823E0" w:rsidRPr="00620914" w14:paraId="4A47A2D2"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59AA0B8E"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Dinnington, Anston and Laughton Common</w:t>
            </w:r>
          </w:p>
        </w:tc>
        <w:tc>
          <w:tcPr>
            <w:tcW w:w="1316" w:type="dxa"/>
            <w:tcBorders>
              <w:top w:val="nil"/>
              <w:left w:val="nil"/>
              <w:bottom w:val="single" w:sz="4" w:space="0" w:color="auto"/>
              <w:right w:val="single" w:sz="4" w:space="0" w:color="auto"/>
            </w:tcBorders>
            <w:shd w:val="clear" w:color="auto" w:fill="auto"/>
            <w:noWrap/>
            <w:vAlign w:val="bottom"/>
            <w:hideMark/>
          </w:tcPr>
          <w:p w14:paraId="6B8A27C4"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41</w:t>
            </w:r>
          </w:p>
        </w:tc>
        <w:tc>
          <w:tcPr>
            <w:tcW w:w="1701" w:type="dxa"/>
            <w:tcBorders>
              <w:top w:val="nil"/>
              <w:left w:val="nil"/>
              <w:bottom w:val="single" w:sz="4" w:space="0" w:color="auto"/>
              <w:right w:val="single" w:sz="4" w:space="0" w:color="auto"/>
            </w:tcBorders>
            <w:shd w:val="clear" w:color="auto" w:fill="auto"/>
            <w:noWrap/>
            <w:vAlign w:val="bottom"/>
            <w:hideMark/>
          </w:tcPr>
          <w:p w14:paraId="2E247A99"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45</w:t>
            </w:r>
          </w:p>
        </w:tc>
        <w:tc>
          <w:tcPr>
            <w:tcW w:w="1559" w:type="dxa"/>
            <w:tcBorders>
              <w:top w:val="nil"/>
              <w:left w:val="nil"/>
              <w:bottom w:val="single" w:sz="4" w:space="0" w:color="auto"/>
              <w:right w:val="single" w:sz="4" w:space="0" w:color="auto"/>
            </w:tcBorders>
            <w:shd w:val="clear" w:color="auto" w:fill="auto"/>
            <w:noWrap/>
            <w:vAlign w:val="bottom"/>
            <w:hideMark/>
          </w:tcPr>
          <w:p w14:paraId="488004BE"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24</w:t>
            </w:r>
          </w:p>
        </w:tc>
        <w:tc>
          <w:tcPr>
            <w:tcW w:w="1701" w:type="dxa"/>
            <w:tcBorders>
              <w:top w:val="nil"/>
              <w:left w:val="nil"/>
              <w:bottom w:val="single" w:sz="4" w:space="0" w:color="auto"/>
              <w:right w:val="single" w:sz="4" w:space="0" w:color="auto"/>
            </w:tcBorders>
            <w:shd w:val="clear" w:color="auto" w:fill="auto"/>
            <w:noWrap/>
            <w:vAlign w:val="bottom"/>
            <w:hideMark/>
          </w:tcPr>
          <w:p w14:paraId="7242B999"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62</w:t>
            </w:r>
          </w:p>
        </w:tc>
        <w:tc>
          <w:tcPr>
            <w:tcW w:w="1276" w:type="dxa"/>
            <w:tcBorders>
              <w:top w:val="nil"/>
              <w:left w:val="nil"/>
              <w:bottom w:val="single" w:sz="4" w:space="0" w:color="auto"/>
              <w:right w:val="single" w:sz="8" w:space="0" w:color="auto"/>
            </w:tcBorders>
            <w:shd w:val="clear" w:color="auto" w:fill="auto"/>
            <w:noWrap/>
            <w:vAlign w:val="bottom"/>
            <w:hideMark/>
          </w:tcPr>
          <w:p w14:paraId="04D714DA"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43</w:t>
            </w:r>
          </w:p>
        </w:tc>
      </w:tr>
      <w:tr w:rsidR="00C823E0" w:rsidRPr="00620914" w14:paraId="736C3D1F"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393E31E6"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Green Belt Villages</w:t>
            </w:r>
          </w:p>
        </w:tc>
        <w:tc>
          <w:tcPr>
            <w:tcW w:w="1316" w:type="dxa"/>
            <w:tcBorders>
              <w:top w:val="nil"/>
              <w:left w:val="nil"/>
              <w:bottom w:val="single" w:sz="4" w:space="0" w:color="auto"/>
              <w:right w:val="single" w:sz="4" w:space="0" w:color="auto"/>
            </w:tcBorders>
            <w:shd w:val="clear" w:color="auto" w:fill="auto"/>
            <w:noWrap/>
            <w:vAlign w:val="bottom"/>
            <w:hideMark/>
          </w:tcPr>
          <w:p w14:paraId="220D15B4"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16</w:t>
            </w:r>
          </w:p>
        </w:tc>
        <w:tc>
          <w:tcPr>
            <w:tcW w:w="1701" w:type="dxa"/>
            <w:tcBorders>
              <w:top w:val="nil"/>
              <w:left w:val="nil"/>
              <w:bottom w:val="single" w:sz="4" w:space="0" w:color="auto"/>
              <w:right w:val="single" w:sz="4" w:space="0" w:color="auto"/>
            </w:tcBorders>
            <w:shd w:val="clear" w:color="auto" w:fill="auto"/>
            <w:noWrap/>
            <w:vAlign w:val="bottom"/>
            <w:hideMark/>
          </w:tcPr>
          <w:p w14:paraId="6B06695D"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w:t>
            </w:r>
          </w:p>
        </w:tc>
        <w:tc>
          <w:tcPr>
            <w:tcW w:w="1559" w:type="dxa"/>
            <w:tcBorders>
              <w:top w:val="nil"/>
              <w:left w:val="nil"/>
              <w:bottom w:val="single" w:sz="4" w:space="0" w:color="auto"/>
              <w:right w:val="single" w:sz="4" w:space="0" w:color="auto"/>
            </w:tcBorders>
            <w:shd w:val="clear" w:color="auto" w:fill="auto"/>
            <w:noWrap/>
            <w:vAlign w:val="bottom"/>
            <w:hideMark/>
          </w:tcPr>
          <w:p w14:paraId="7004FFDB"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11</w:t>
            </w:r>
          </w:p>
        </w:tc>
        <w:tc>
          <w:tcPr>
            <w:tcW w:w="1701" w:type="dxa"/>
            <w:tcBorders>
              <w:top w:val="nil"/>
              <w:left w:val="nil"/>
              <w:bottom w:val="single" w:sz="4" w:space="0" w:color="auto"/>
              <w:right w:val="single" w:sz="4" w:space="0" w:color="auto"/>
            </w:tcBorders>
            <w:shd w:val="clear" w:color="auto" w:fill="auto"/>
            <w:noWrap/>
            <w:vAlign w:val="bottom"/>
            <w:hideMark/>
          </w:tcPr>
          <w:p w14:paraId="0AD86421"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18</w:t>
            </w:r>
          </w:p>
        </w:tc>
        <w:tc>
          <w:tcPr>
            <w:tcW w:w="1276" w:type="dxa"/>
            <w:tcBorders>
              <w:top w:val="nil"/>
              <w:left w:val="nil"/>
              <w:bottom w:val="single" w:sz="4" w:space="0" w:color="auto"/>
              <w:right w:val="single" w:sz="8" w:space="0" w:color="auto"/>
            </w:tcBorders>
            <w:shd w:val="clear" w:color="auto" w:fill="auto"/>
            <w:noWrap/>
            <w:vAlign w:val="bottom"/>
            <w:hideMark/>
          </w:tcPr>
          <w:p w14:paraId="2A860B4C"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w:t>
            </w:r>
          </w:p>
        </w:tc>
      </w:tr>
      <w:tr w:rsidR="00C823E0" w:rsidRPr="00620914" w14:paraId="373260F2"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1A71B84A"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Kiveton Park and Wales</w:t>
            </w:r>
          </w:p>
        </w:tc>
        <w:tc>
          <w:tcPr>
            <w:tcW w:w="1316" w:type="dxa"/>
            <w:tcBorders>
              <w:top w:val="nil"/>
              <w:left w:val="nil"/>
              <w:bottom w:val="single" w:sz="4" w:space="0" w:color="auto"/>
              <w:right w:val="single" w:sz="4" w:space="0" w:color="auto"/>
            </w:tcBorders>
            <w:shd w:val="clear" w:color="auto" w:fill="auto"/>
            <w:noWrap/>
            <w:vAlign w:val="bottom"/>
            <w:hideMark/>
          </w:tcPr>
          <w:p w14:paraId="17B7A343"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w:t>
            </w:r>
          </w:p>
        </w:tc>
        <w:tc>
          <w:tcPr>
            <w:tcW w:w="1701" w:type="dxa"/>
            <w:tcBorders>
              <w:top w:val="nil"/>
              <w:left w:val="nil"/>
              <w:bottom w:val="single" w:sz="4" w:space="0" w:color="auto"/>
              <w:right w:val="single" w:sz="4" w:space="0" w:color="auto"/>
            </w:tcBorders>
            <w:shd w:val="clear" w:color="auto" w:fill="auto"/>
            <w:noWrap/>
            <w:vAlign w:val="bottom"/>
            <w:hideMark/>
          </w:tcPr>
          <w:p w14:paraId="7AFEF38A"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34</w:t>
            </w:r>
          </w:p>
        </w:tc>
        <w:tc>
          <w:tcPr>
            <w:tcW w:w="1559" w:type="dxa"/>
            <w:tcBorders>
              <w:top w:val="nil"/>
              <w:left w:val="nil"/>
              <w:bottom w:val="single" w:sz="4" w:space="0" w:color="auto"/>
              <w:right w:val="single" w:sz="4" w:space="0" w:color="auto"/>
            </w:tcBorders>
            <w:shd w:val="clear" w:color="auto" w:fill="auto"/>
            <w:noWrap/>
            <w:vAlign w:val="bottom"/>
            <w:hideMark/>
          </w:tcPr>
          <w:p w14:paraId="21D1E9CC"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w:t>
            </w:r>
          </w:p>
        </w:tc>
        <w:tc>
          <w:tcPr>
            <w:tcW w:w="1701" w:type="dxa"/>
            <w:tcBorders>
              <w:top w:val="nil"/>
              <w:left w:val="nil"/>
              <w:bottom w:val="single" w:sz="4" w:space="0" w:color="auto"/>
              <w:right w:val="single" w:sz="4" w:space="0" w:color="auto"/>
            </w:tcBorders>
            <w:shd w:val="clear" w:color="auto" w:fill="auto"/>
            <w:noWrap/>
            <w:vAlign w:val="bottom"/>
            <w:hideMark/>
          </w:tcPr>
          <w:p w14:paraId="0D0309E9"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36</w:t>
            </w:r>
          </w:p>
        </w:tc>
        <w:tc>
          <w:tcPr>
            <w:tcW w:w="1276" w:type="dxa"/>
            <w:tcBorders>
              <w:top w:val="nil"/>
              <w:left w:val="nil"/>
              <w:bottom w:val="single" w:sz="4" w:space="0" w:color="auto"/>
              <w:right w:val="single" w:sz="8" w:space="0" w:color="auto"/>
            </w:tcBorders>
            <w:shd w:val="clear" w:color="auto" w:fill="auto"/>
            <w:noWrap/>
            <w:vAlign w:val="bottom"/>
            <w:hideMark/>
          </w:tcPr>
          <w:p w14:paraId="489FD81B"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25</w:t>
            </w:r>
          </w:p>
        </w:tc>
      </w:tr>
      <w:tr w:rsidR="00C823E0" w:rsidRPr="00620914" w14:paraId="3BA9CEA4"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22BDF54A"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Maltby and Hellaby</w:t>
            </w:r>
          </w:p>
        </w:tc>
        <w:tc>
          <w:tcPr>
            <w:tcW w:w="1316" w:type="dxa"/>
            <w:tcBorders>
              <w:top w:val="nil"/>
              <w:left w:val="nil"/>
              <w:bottom w:val="single" w:sz="4" w:space="0" w:color="auto"/>
              <w:right w:val="single" w:sz="4" w:space="0" w:color="auto"/>
            </w:tcBorders>
            <w:shd w:val="clear" w:color="auto" w:fill="auto"/>
            <w:noWrap/>
            <w:vAlign w:val="bottom"/>
            <w:hideMark/>
          </w:tcPr>
          <w:p w14:paraId="6C77D566"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34</w:t>
            </w:r>
          </w:p>
        </w:tc>
        <w:tc>
          <w:tcPr>
            <w:tcW w:w="1701" w:type="dxa"/>
            <w:tcBorders>
              <w:top w:val="nil"/>
              <w:left w:val="nil"/>
              <w:bottom w:val="single" w:sz="4" w:space="0" w:color="auto"/>
              <w:right w:val="single" w:sz="4" w:space="0" w:color="auto"/>
            </w:tcBorders>
            <w:shd w:val="clear" w:color="auto" w:fill="auto"/>
            <w:noWrap/>
            <w:vAlign w:val="bottom"/>
            <w:hideMark/>
          </w:tcPr>
          <w:p w14:paraId="4C4288C3"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27</w:t>
            </w:r>
          </w:p>
        </w:tc>
        <w:tc>
          <w:tcPr>
            <w:tcW w:w="1559" w:type="dxa"/>
            <w:tcBorders>
              <w:top w:val="nil"/>
              <w:left w:val="nil"/>
              <w:bottom w:val="single" w:sz="4" w:space="0" w:color="auto"/>
              <w:right w:val="single" w:sz="4" w:space="0" w:color="auto"/>
            </w:tcBorders>
            <w:shd w:val="clear" w:color="auto" w:fill="auto"/>
            <w:noWrap/>
            <w:vAlign w:val="bottom"/>
            <w:hideMark/>
          </w:tcPr>
          <w:p w14:paraId="2F859175"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29</w:t>
            </w:r>
          </w:p>
        </w:tc>
        <w:tc>
          <w:tcPr>
            <w:tcW w:w="1701" w:type="dxa"/>
            <w:tcBorders>
              <w:top w:val="nil"/>
              <w:left w:val="nil"/>
              <w:bottom w:val="single" w:sz="4" w:space="0" w:color="auto"/>
              <w:right w:val="single" w:sz="4" w:space="0" w:color="auto"/>
            </w:tcBorders>
            <w:shd w:val="clear" w:color="auto" w:fill="auto"/>
            <w:noWrap/>
            <w:vAlign w:val="bottom"/>
            <w:hideMark/>
          </w:tcPr>
          <w:p w14:paraId="322A0F92"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32</w:t>
            </w:r>
          </w:p>
        </w:tc>
        <w:tc>
          <w:tcPr>
            <w:tcW w:w="1276" w:type="dxa"/>
            <w:tcBorders>
              <w:top w:val="nil"/>
              <w:left w:val="nil"/>
              <w:bottom w:val="single" w:sz="4" w:space="0" w:color="auto"/>
              <w:right w:val="single" w:sz="8" w:space="0" w:color="auto"/>
            </w:tcBorders>
            <w:shd w:val="clear" w:color="auto" w:fill="auto"/>
            <w:noWrap/>
            <w:vAlign w:val="bottom"/>
            <w:hideMark/>
          </w:tcPr>
          <w:p w14:paraId="12A41441"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22</w:t>
            </w:r>
          </w:p>
        </w:tc>
      </w:tr>
      <w:tr w:rsidR="00C823E0" w:rsidRPr="00620914" w14:paraId="64AD7716"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7C6938EC"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Non-Green Belt Villages</w:t>
            </w:r>
          </w:p>
        </w:tc>
        <w:tc>
          <w:tcPr>
            <w:tcW w:w="1316" w:type="dxa"/>
            <w:tcBorders>
              <w:top w:val="nil"/>
              <w:left w:val="nil"/>
              <w:bottom w:val="single" w:sz="4" w:space="0" w:color="auto"/>
              <w:right w:val="single" w:sz="4" w:space="0" w:color="auto"/>
            </w:tcBorders>
            <w:shd w:val="clear" w:color="auto" w:fill="auto"/>
            <w:noWrap/>
            <w:vAlign w:val="bottom"/>
            <w:hideMark/>
          </w:tcPr>
          <w:p w14:paraId="6BB9C3A5"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17</w:t>
            </w:r>
          </w:p>
        </w:tc>
        <w:tc>
          <w:tcPr>
            <w:tcW w:w="1701" w:type="dxa"/>
            <w:tcBorders>
              <w:top w:val="nil"/>
              <w:left w:val="nil"/>
              <w:bottom w:val="single" w:sz="4" w:space="0" w:color="auto"/>
              <w:right w:val="single" w:sz="4" w:space="0" w:color="auto"/>
            </w:tcBorders>
            <w:shd w:val="clear" w:color="auto" w:fill="auto"/>
            <w:noWrap/>
            <w:vAlign w:val="bottom"/>
            <w:hideMark/>
          </w:tcPr>
          <w:p w14:paraId="50939258"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36</w:t>
            </w:r>
          </w:p>
        </w:tc>
        <w:tc>
          <w:tcPr>
            <w:tcW w:w="1559" w:type="dxa"/>
            <w:tcBorders>
              <w:top w:val="nil"/>
              <w:left w:val="nil"/>
              <w:bottom w:val="single" w:sz="4" w:space="0" w:color="auto"/>
              <w:right w:val="single" w:sz="4" w:space="0" w:color="auto"/>
            </w:tcBorders>
            <w:shd w:val="clear" w:color="auto" w:fill="auto"/>
            <w:noWrap/>
            <w:vAlign w:val="bottom"/>
            <w:hideMark/>
          </w:tcPr>
          <w:p w14:paraId="4862081E"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w:t>
            </w:r>
          </w:p>
        </w:tc>
        <w:tc>
          <w:tcPr>
            <w:tcW w:w="1701" w:type="dxa"/>
            <w:tcBorders>
              <w:top w:val="nil"/>
              <w:left w:val="nil"/>
              <w:bottom w:val="single" w:sz="4" w:space="0" w:color="auto"/>
              <w:right w:val="single" w:sz="4" w:space="0" w:color="auto"/>
            </w:tcBorders>
            <w:shd w:val="clear" w:color="auto" w:fill="auto"/>
            <w:noWrap/>
            <w:vAlign w:val="bottom"/>
            <w:hideMark/>
          </w:tcPr>
          <w:p w14:paraId="73DE520B"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50</w:t>
            </w:r>
          </w:p>
        </w:tc>
        <w:tc>
          <w:tcPr>
            <w:tcW w:w="1276" w:type="dxa"/>
            <w:tcBorders>
              <w:top w:val="nil"/>
              <w:left w:val="nil"/>
              <w:bottom w:val="single" w:sz="4" w:space="0" w:color="auto"/>
              <w:right w:val="single" w:sz="8" w:space="0" w:color="auto"/>
            </w:tcBorders>
            <w:shd w:val="clear" w:color="auto" w:fill="auto"/>
            <w:noWrap/>
            <w:vAlign w:val="bottom"/>
            <w:hideMark/>
          </w:tcPr>
          <w:p w14:paraId="32FE6675"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35</w:t>
            </w:r>
          </w:p>
        </w:tc>
      </w:tr>
      <w:tr w:rsidR="00C823E0" w:rsidRPr="00620914" w14:paraId="4FF92F12"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6DBE6600"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Rotherham Urban Area</w:t>
            </w:r>
          </w:p>
        </w:tc>
        <w:tc>
          <w:tcPr>
            <w:tcW w:w="1316" w:type="dxa"/>
            <w:tcBorders>
              <w:top w:val="nil"/>
              <w:left w:val="nil"/>
              <w:bottom w:val="single" w:sz="4" w:space="0" w:color="auto"/>
              <w:right w:val="single" w:sz="4" w:space="0" w:color="auto"/>
            </w:tcBorders>
            <w:shd w:val="clear" w:color="auto" w:fill="auto"/>
            <w:noWrap/>
            <w:vAlign w:val="bottom"/>
            <w:hideMark/>
          </w:tcPr>
          <w:p w14:paraId="3C5BF421"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117</w:t>
            </w:r>
          </w:p>
        </w:tc>
        <w:tc>
          <w:tcPr>
            <w:tcW w:w="1701" w:type="dxa"/>
            <w:tcBorders>
              <w:top w:val="nil"/>
              <w:left w:val="nil"/>
              <w:bottom w:val="single" w:sz="4" w:space="0" w:color="auto"/>
              <w:right w:val="single" w:sz="4" w:space="0" w:color="auto"/>
            </w:tcBorders>
            <w:shd w:val="clear" w:color="auto" w:fill="auto"/>
            <w:noWrap/>
            <w:vAlign w:val="bottom"/>
            <w:hideMark/>
          </w:tcPr>
          <w:p w14:paraId="2EB15FA5"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111</w:t>
            </w:r>
          </w:p>
        </w:tc>
        <w:tc>
          <w:tcPr>
            <w:tcW w:w="1559" w:type="dxa"/>
            <w:tcBorders>
              <w:top w:val="nil"/>
              <w:left w:val="nil"/>
              <w:bottom w:val="single" w:sz="4" w:space="0" w:color="auto"/>
              <w:right w:val="single" w:sz="4" w:space="0" w:color="auto"/>
            </w:tcBorders>
            <w:shd w:val="clear" w:color="auto" w:fill="auto"/>
            <w:noWrap/>
            <w:vAlign w:val="bottom"/>
            <w:hideMark/>
          </w:tcPr>
          <w:p w14:paraId="65AF059F"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w:t>
            </w:r>
          </w:p>
        </w:tc>
        <w:tc>
          <w:tcPr>
            <w:tcW w:w="1701" w:type="dxa"/>
            <w:tcBorders>
              <w:top w:val="nil"/>
              <w:left w:val="nil"/>
              <w:bottom w:val="single" w:sz="4" w:space="0" w:color="auto"/>
              <w:right w:val="single" w:sz="4" w:space="0" w:color="auto"/>
            </w:tcBorders>
            <w:shd w:val="clear" w:color="auto" w:fill="auto"/>
            <w:noWrap/>
            <w:vAlign w:val="bottom"/>
            <w:hideMark/>
          </w:tcPr>
          <w:p w14:paraId="067785F3"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215</w:t>
            </w:r>
          </w:p>
        </w:tc>
        <w:tc>
          <w:tcPr>
            <w:tcW w:w="1276" w:type="dxa"/>
            <w:tcBorders>
              <w:top w:val="nil"/>
              <w:left w:val="nil"/>
              <w:bottom w:val="single" w:sz="4" w:space="0" w:color="auto"/>
              <w:right w:val="single" w:sz="8" w:space="0" w:color="auto"/>
            </w:tcBorders>
            <w:shd w:val="clear" w:color="auto" w:fill="auto"/>
            <w:noWrap/>
            <w:vAlign w:val="bottom"/>
            <w:hideMark/>
          </w:tcPr>
          <w:p w14:paraId="325A5EF2"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151</w:t>
            </w:r>
          </w:p>
        </w:tc>
      </w:tr>
      <w:tr w:rsidR="00C823E0" w:rsidRPr="00620914" w14:paraId="202B54BE"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258FB87B"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Swinton and Kilnhurst</w:t>
            </w:r>
          </w:p>
        </w:tc>
        <w:tc>
          <w:tcPr>
            <w:tcW w:w="1316" w:type="dxa"/>
            <w:tcBorders>
              <w:top w:val="nil"/>
              <w:left w:val="nil"/>
              <w:bottom w:val="single" w:sz="4" w:space="0" w:color="auto"/>
              <w:right w:val="single" w:sz="4" w:space="0" w:color="auto"/>
            </w:tcBorders>
            <w:shd w:val="clear" w:color="auto" w:fill="auto"/>
            <w:noWrap/>
            <w:vAlign w:val="bottom"/>
            <w:hideMark/>
          </w:tcPr>
          <w:p w14:paraId="15A51297"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16</w:t>
            </w:r>
          </w:p>
        </w:tc>
        <w:tc>
          <w:tcPr>
            <w:tcW w:w="1701" w:type="dxa"/>
            <w:tcBorders>
              <w:top w:val="nil"/>
              <w:left w:val="nil"/>
              <w:bottom w:val="single" w:sz="4" w:space="0" w:color="auto"/>
              <w:right w:val="single" w:sz="4" w:space="0" w:color="auto"/>
            </w:tcBorders>
            <w:shd w:val="clear" w:color="auto" w:fill="auto"/>
            <w:noWrap/>
            <w:vAlign w:val="bottom"/>
            <w:hideMark/>
          </w:tcPr>
          <w:p w14:paraId="78C6DE67"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19</w:t>
            </w:r>
          </w:p>
        </w:tc>
        <w:tc>
          <w:tcPr>
            <w:tcW w:w="1559" w:type="dxa"/>
            <w:tcBorders>
              <w:top w:val="nil"/>
              <w:left w:val="nil"/>
              <w:bottom w:val="single" w:sz="4" w:space="0" w:color="auto"/>
              <w:right w:val="single" w:sz="4" w:space="0" w:color="auto"/>
            </w:tcBorders>
            <w:shd w:val="clear" w:color="auto" w:fill="auto"/>
            <w:noWrap/>
            <w:vAlign w:val="bottom"/>
            <w:hideMark/>
          </w:tcPr>
          <w:p w14:paraId="004F146D"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14</w:t>
            </w:r>
          </w:p>
        </w:tc>
        <w:tc>
          <w:tcPr>
            <w:tcW w:w="1701" w:type="dxa"/>
            <w:tcBorders>
              <w:top w:val="nil"/>
              <w:left w:val="nil"/>
              <w:bottom w:val="single" w:sz="4" w:space="0" w:color="auto"/>
              <w:right w:val="single" w:sz="4" w:space="0" w:color="auto"/>
            </w:tcBorders>
            <w:shd w:val="clear" w:color="auto" w:fill="auto"/>
            <w:noWrap/>
            <w:vAlign w:val="bottom"/>
            <w:hideMark/>
          </w:tcPr>
          <w:p w14:paraId="74CF4893"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21</w:t>
            </w:r>
          </w:p>
        </w:tc>
        <w:tc>
          <w:tcPr>
            <w:tcW w:w="1276" w:type="dxa"/>
            <w:tcBorders>
              <w:top w:val="nil"/>
              <w:left w:val="nil"/>
              <w:bottom w:val="single" w:sz="4" w:space="0" w:color="auto"/>
              <w:right w:val="single" w:sz="8" w:space="0" w:color="auto"/>
            </w:tcBorders>
            <w:shd w:val="clear" w:color="auto" w:fill="auto"/>
            <w:noWrap/>
            <w:vAlign w:val="bottom"/>
            <w:hideMark/>
          </w:tcPr>
          <w:p w14:paraId="4F202B56"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15</w:t>
            </w:r>
          </w:p>
        </w:tc>
      </w:tr>
      <w:tr w:rsidR="00C823E0" w:rsidRPr="00620914" w14:paraId="4F0B20B7"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395EAFFA"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Thorpe Hesley</w:t>
            </w:r>
          </w:p>
        </w:tc>
        <w:tc>
          <w:tcPr>
            <w:tcW w:w="1316" w:type="dxa"/>
            <w:tcBorders>
              <w:top w:val="nil"/>
              <w:left w:val="nil"/>
              <w:bottom w:val="single" w:sz="4" w:space="0" w:color="auto"/>
              <w:right w:val="single" w:sz="4" w:space="0" w:color="auto"/>
            </w:tcBorders>
            <w:shd w:val="clear" w:color="auto" w:fill="auto"/>
            <w:noWrap/>
            <w:vAlign w:val="bottom"/>
            <w:hideMark/>
          </w:tcPr>
          <w:p w14:paraId="0091D115"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9</w:t>
            </w:r>
          </w:p>
        </w:tc>
        <w:tc>
          <w:tcPr>
            <w:tcW w:w="1701" w:type="dxa"/>
            <w:tcBorders>
              <w:top w:val="nil"/>
              <w:left w:val="nil"/>
              <w:bottom w:val="single" w:sz="4" w:space="0" w:color="auto"/>
              <w:right w:val="single" w:sz="4" w:space="0" w:color="auto"/>
            </w:tcBorders>
            <w:shd w:val="clear" w:color="auto" w:fill="auto"/>
            <w:noWrap/>
            <w:vAlign w:val="bottom"/>
            <w:hideMark/>
          </w:tcPr>
          <w:p w14:paraId="750EBC23"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w:t>
            </w:r>
          </w:p>
        </w:tc>
        <w:tc>
          <w:tcPr>
            <w:tcW w:w="1559" w:type="dxa"/>
            <w:tcBorders>
              <w:top w:val="nil"/>
              <w:left w:val="nil"/>
              <w:bottom w:val="single" w:sz="4" w:space="0" w:color="auto"/>
              <w:right w:val="single" w:sz="4" w:space="0" w:color="auto"/>
            </w:tcBorders>
            <w:shd w:val="clear" w:color="auto" w:fill="auto"/>
            <w:noWrap/>
            <w:vAlign w:val="bottom"/>
            <w:hideMark/>
          </w:tcPr>
          <w:p w14:paraId="51547CAE"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14:paraId="31400F3B"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10</w:t>
            </w:r>
          </w:p>
        </w:tc>
        <w:tc>
          <w:tcPr>
            <w:tcW w:w="1276" w:type="dxa"/>
            <w:tcBorders>
              <w:top w:val="nil"/>
              <w:left w:val="nil"/>
              <w:bottom w:val="single" w:sz="4" w:space="0" w:color="auto"/>
              <w:right w:val="single" w:sz="8" w:space="0" w:color="auto"/>
            </w:tcBorders>
            <w:shd w:val="clear" w:color="auto" w:fill="auto"/>
            <w:noWrap/>
            <w:vAlign w:val="bottom"/>
            <w:hideMark/>
          </w:tcPr>
          <w:p w14:paraId="0195131E"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7</w:t>
            </w:r>
          </w:p>
        </w:tc>
      </w:tr>
      <w:tr w:rsidR="00C823E0" w:rsidRPr="00620914" w14:paraId="53CEF14D"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78F2FCDF"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Thurcroft</w:t>
            </w:r>
          </w:p>
        </w:tc>
        <w:tc>
          <w:tcPr>
            <w:tcW w:w="1316" w:type="dxa"/>
            <w:tcBorders>
              <w:top w:val="nil"/>
              <w:left w:val="nil"/>
              <w:bottom w:val="single" w:sz="4" w:space="0" w:color="auto"/>
              <w:right w:val="single" w:sz="4" w:space="0" w:color="auto"/>
            </w:tcBorders>
            <w:shd w:val="clear" w:color="auto" w:fill="auto"/>
            <w:noWrap/>
            <w:vAlign w:val="bottom"/>
            <w:hideMark/>
          </w:tcPr>
          <w:p w14:paraId="1CDBEE00"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19</w:t>
            </w:r>
          </w:p>
        </w:tc>
        <w:tc>
          <w:tcPr>
            <w:tcW w:w="1701" w:type="dxa"/>
            <w:tcBorders>
              <w:top w:val="nil"/>
              <w:left w:val="nil"/>
              <w:bottom w:val="single" w:sz="4" w:space="0" w:color="auto"/>
              <w:right w:val="single" w:sz="4" w:space="0" w:color="auto"/>
            </w:tcBorders>
            <w:shd w:val="clear" w:color="auto" w:fill="auto"/>
            <w:noWrap/>
            <w:vAlign w:val="bottom"/>
            <w:hideMark/>
          </w:tcPr>
          <w:p w14:paraId="3C463A8F"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5</w:t>
            </w:r>
          </w:p>
        </w:tc>
        <w:tc>
          <w:tcPr>
            <w:tcW w:w="1559" w:type="dxa"/>
            <w:tcBorders>
              <w:top w:val="nil"/>
              <w:left w:val="nil"/>
              <w:bottom w:val="single" w:sz="4" w:space="0" w:color="auto"/>
              <w:right w:val="single" w:sz="4" w:space="0" w:color="auto"/>
            </w:tcBorders>
            <w:shd w:val="clear" w:color="auto" w:fill="auto"/>
            <w:noWrap/>
            <w:vAlign w:val="bottom"/>
            <w:hideMark/>
          </w:tcPr>
          <w:p w14:paraId="6D416181"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16</w:t>
            </w:r>
          </w:p>
        </w:tc>
        <w:tc>
          <w:tcPr>
            <w:tcW w:w="1701" w:type="dxa"/>
            <w:tcBorders>
              <w:top w:val="nil"/>
              <w:left w:val="nil"/>
              <w:bottom w:val="single" w:sz="4" w:space="0" w:color="auto"/>
              <w:right w:val="single" w:sz="4" w:space="0" w:color="auto"/>
            </w:tcBorders>
            <w:shd w:val="clear" w:color="auto" w:fill="auto"/>
            <w:noWrap/>
            <w:vAlign w:val="bottom"/>
            <w:hideMark/>
          </w:tcPr>
          <w:p w14:paraId="00467EBD"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8</w:t>
            </w:r>
          </w:p>
        </w:tc>
        <w:tc>
          <w:tcPr>
            <w:tcW w:w="1276" w:type="dxa"/>
            <w:tcBorders>
              <w:top w:val="nil"/>
              <w:left w:val="nil"/>
              <w:bottom w:val="single" w:sz="4" w:space="0" w:color="auto"/>
              <w:right w:val="single" w:sz="8" w:space="0" w:color="auto"/>
            </w:tcBorders>
            <w:shd w:val="clear" w:color="auto" w:fill="auto"/>
            <w:noWrap/>
            <w:vAlign w:val="bottom"/>
            <w:hideMark/>
          </w:tcPr>
          <w:p w14:paraId="2B78C94A"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6</w:t>
            </w:r>
          </w:p>
        </w:tc>
      </w:tr>
      <w:tr w:rsidR="00C823E0" w:rsidRPr="00620914" w14:paraId="1B7DFFFB"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450C01E5"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Wath-upon-Dearne, Brampton and West Melton</w:t>
            </w:r>
          </w:p>
        </w:tc>
        <w:tc>
          <w:tcPr>
            <w:tcW w:w="1316" w:type="dxa"/>
            <w:tcBorders>
              <w:top w:val="nil"/>
              <w:left w:val="nil"/>
              <w:bottom w:val="single" w:sz="4" w:space="0" w:color="auto"/>
              <w:right w:val="single" w:sz="4" w:space="0" w:color="auto"/>
            </w:tcBorders>
            <w:shd w:val="clear" w:color="auto" w:fill="auto"/>
            <w:noWrap/>
            <w:vAlign w:val="bottom"/>
            <w:hideMark/>
          </w:tcPr>
          <w:p w14:paraId="78B18FBF"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30</w:t>
            </w:r>
          </w:p>
        </w:tc>
        <w:tc>
          <w:tcPr>
            <w:tcW w:w="1701" w:type="dxa"/>
            <w:tcBorders>
              <w:top w:val="nil"/>
              <w:left w:val="nil"/>
              <w:bottom w:val="single" w:sz="4" w:space="0" w:color="auto"/>
              <w:right w:val="single" w:sz="4" w:space="0" w:color="auto"/>
            </w:tcBorders>
            <w:shd w:val="clear" w:color="auto" w:fill="auto"/>
            <w:noWrap/>
            <w:vAlign w:val="bottom"/>
            <w:hideMark/>
          </w:tcPr>
          <w:p w14:paraId="4EE47F42"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20</w:t>
            </w:r>
          </w:p>
        </w:tc>
        <w:tc>
          <w:tcPr>
            <w:tcW w:w="1559" w:type="dxa"/>
            <w:tcBorders>
              <w:top w:val="nil"/>
              <w:left w:val="nil"/>
              <w:bottom w:val="single" w:sz="4" w:space="0" w:color="auto"/>
              <w:right w:val="single" w:sz="4" w:space="0" w:color="auto"/>
            </w:tcBorders>
            <w:shd w:val="clear" w:color="auto" w:fill="auto"/>
            <w:noWrap/>
            <w:vAlign w:val="bottom"/>
            <w:hideMark/>
          </w:tcPr>
          <w:p w14:paraId="2EF2DDF8"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12</w:t>
            </w:r>
          </w:p>
        </w:tc>
        <w:tc>
          <w:tcPr>
            <w:tcW w:w="1701" w:type="dxa"/>
            <w:tcBorders>
              <w:top w:val="nil"/>
              <w:left w:val="nil"/>
              <w:bottom w:val="single" w:sz="4" w:space="0" w:color="auto"/>
              <w:right w:val="single" w:sz="4" w:space="0" w:color="auto"/>
            </w:tcBorders>
            <w:shd w:val="clear" w:color="auto" w:fill="auto"/>
            <w:noWrap/>
            <w:vAlign w:val="bottom"/>
            <w:hideMark/>
          </w:tcPr>
          <w:p w14:paraId="363A4883"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38</w:t>
            </w:r>
          </w:p>
        </w:tc>
        <w:tc>
          <w:tcPr>
            <w:tcW w:w="1276" w:type="dxa"/>
            <w:tcBorders>
              <w:top w:val="nil"/>
              <w:left w:val="nil"/>
              <w:bottom w:val="single" w:sz="4" w:space="0" w:color="auto"/>
              <w:right w:val="single" w:sz="8" w:space="0" w:color="auto"/>
            </w:tcBorders>
            <w:shd w:val="clear" w:color="auto" w:fill="auto"/>
            <w:noWrap/>
            <w:vAlign w:val="bottom"/>
            <w:hideMark/>
          </w:tcPr>
          <w:p w14:paraId="74FCA620"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27</w:t>
            </w:r>
          </w:p>
        </w:tc>
      </w:tr>
      <w:tr w:rsidR="00C823E0" w:rsidRPr="00620914" w14:paraId="314D0D82" w14:textId="77777777" w:rsidTr="00C0033A">
        <w:trPr>
          <w:trHeight w:val="301"/>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14:paraId="4BD1F874"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Waverley</w:t>
            </w:r>
          </w:p>
        </w:tc>
        <w:tc>
          <w:tcPr>
            <w:tcW w:w="1316" w:type="dxa"/>
            <w:tcBorders>
              <w:top w:val="nil"/>
              <w:left w:val="nil"/>
              <w:bottom w:val="single" w:sz="4" w:space="0" w:color="auto"/>
              <w:right w:val="single" w:sz="4" w:space="0" w:color="auto"/>
            </w:tcBorders>
            <w:shd w:val="clear" w:color="auto" w:fill="auto"/>
            <w:noWrap/>
            <w:vAlign w:val="bottom"/>
            <w:hideMark/>
          </w:tcPr>
          <w:p w14:paraId="513563CA"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14:paraId="08421A92"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559" w:type="dxa"/>
            <w:tcBorders>
              <w:top w:val="nil"/>
              <w:left w:val="nil"/>
              <w:bottom w:val="single" w:sz="4" w:space="0" w:color="auto"/>
              <w:right w:val="single" w:sz="4" w:space="0" w:color="auto"/>
            </w:tcBorders>
            <w:shd w:val="clear" w:color="auto" w:fill="auto"/>
            <w:noWrap/>
            <w:vAlign w:val="bottom"/>
            <w:hideMark/>
          </w:tcPr>
          <w:p w14:paraId="6B0212E0"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14:paraId="499B1249"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276" w:type="dxa"/>
            <w:tcBorders>
              <w:top w:val="nil"/>
              <w:left w:val="nil"/>
              <w:bottom w:val="single" w:sz="4" w:space="0" w:color="auto"/>
              <w:right w:val="single" w:sz="8" w:space="0" w:color="auto"/>
            </w:tcBorders>
            <w:shd w:val="clear" w:color="auto" w:fill="auto"/>
            <w:noWrap/>
            <w:vAlign w:val="bottom"/>
            <w:hideMark/>
          </w:tcPr>
          <w:p w14:paraId="5D195E8C"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r>
      <w:tr w:rsidR="00C823E0" w:rsidRPr="00620914" w14:paraId="437C86CA" w14:textId="77777777" w:rsidTr="00C0033A">
        <w:trPr>
          <w:trHeight w:val="315"/>
        </w:trPr>
        <w:tc>
          <w:tcPr>
            <w:tcW w:w="2218" w:type="dxa"/>
            <w:tcBorders>
              <w:top w:val="nil"/>
              <w:left w:val="single" w:sz="8" w:space="0" w:color="auto"/>
              <w:bottom w:val="nil"/>
              <w:right w:val="single" w:sz="4" w:space="0" w:color="auto"/>
            </w:tcBorders>
            <w:shd w:val="clear" w:color="auto" w:fill="auto"/>
            <w:noWrap/>
            <w:vAlign w:val="bottom"/>
            <w:hideMark/>
          </w:tcPr>
          <w:p w14:paraId="740BF63C"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Wickersley, Bramley and Ravenfield Common</w:t>
            </w:r>
          </w:p>
        </w:tc>
        <w:tc>
          <w:tcPr>
            <w:tcW w:w="1316" w:type="dxa"/>
            <w:tcBorders>
              <w:top w:val="nil"/>
              <w:left w:val="nil"/>
              <w:bottom w:val="nil"/>
              <w:right w:val="single" w:sz="4" w:space="0" w:color="auto"/>
            </w:tcBorders>
            <w:shd w:val="clear" w:color="auto" w:fill="auto"/>
            <w:noWrap/>
            <w:vAlign w:val="bottom"/>
            <w:hideMark/>
          </w:tcPr>
          <w:p w14:paraId="09F25CFA"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36</w:t>
            </w:r>
          </w:p>
        </w:tc>
        <w:tc>
          <w:tcPr>
            <w:tcW w:w="1701" w:type="dxa"/>
            <w:tcBorders>
              <w:top w:val="nil"/>
              <w:left w:val="nil"/>
              <w:bottom w:val="nil"/>
              <w:right w:val="single" w:sz="4" w:space="0" w:color="auto"/>
            </w:tcBorders>
            <w:shd w:val="clear" w:color="auto" w:fill="auto"/>
            <w:noWrap/>
            <w:vAlign w:val="bottom"/>
            <w:hideMark/>
          </w:tcPr>
          <w:p w14:paraId="31E59BFE"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35</w:t>
            </w:r>
          </w:p>
        </w:tc>
        <w:tc>
          <w:tcPr>
            <w:tcW w:w="1559" w:type="dxa"/>
            <w:tcBorders>
              <w:top w:val="nil"/>
              <w:left w:val="nil"/>
              <w:bottom w:val="nil"/>
              <w:right w:val="single" w:sz="4" w:space="0" w:color="auto"/>
            </w:tcBorders>
            <w:shd w:val="clear" w:color="auto" w:fill="auto"/>
            <w:noWrap/>
            <w:vAlign w:val="bottom"/>
            <w:hideMark/>
          </w:tcPr>
          <w:p w14:paraId="509E2974"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17</w:t>
            </w:r>
          </w:p>
        </w:tc>
        <w:tc>
          <w:tcPr>
            <w:tcW w:w="1701" w:type="dxa"/>
            <w:tcBorders>
              <w:top w:val="nil"/>
              <w:left w:val="nil"/>
              <w:bottom w:val="nil"/>
              <w:right w:val="single" w:sz="4" w:space="0" w:color="auto"/>
            </w:tcBorders>
            <w:shd w:val="clear" w:color="auto" w:fill="auto"/>
            <w:noWrap/>
            <w:vAlign w:val="bottom"/>
            <w:hideMark/>
          </w:tcPr>
          <w:p w14:paraId="5EA91A3C"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54</w:t>
            </w:r>
          </w:p>
        </w:tc>
        <w:tc>
          <w:tcPr>
            <w:tcW w:w="1276" w:type="dxa"/>
            <w:tcBorders>
              <w:top w:val="nil"/>
              <w:left w:val="nil"/>
              <w:bottom w:val="nil"/>
              <w:right w:val="single" w:sz="8" w:space="0" w:color="auto"/>
            </w:tcBorders>
            <w:shd w:val="clear" w:color="auto" w:fill="auto"/>
            <w:noWrap/>
            <w:vAlign w:val="bottom"/>
            <w:hideMark/>
          </w:tcPr>
          <w:p w14:paraId="18605A7F" w14:textId="77777777" w:rsidR="00C31826" w:rsidRPr="00620914" w:rsidRDefault="00C31826"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38</w:t>
            </w:r>
          </w:p>
        </w:tc>
      </w:tr>
      <w:tr w:rsidR="00C823E0" w:rsidRPr="00620914" w14:paraId="410B9473" w14:textId="77777777" w:rsidTr="00C0033A">
        <w:trPr>
          <w:trHeight w:val="315"/>
        </w:trPr>
        <w:tc>
          <w:tcPr>
            <w:tcW w:w="221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B4BC642" w14:textId="77777777" w:rsidR="00C31826" w:rsidRPr="00620914" w:rsidRDefault="00C31826"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w:t>
            </w:r>
          </w:p>
        </w:tc>
        <w:tc>
          <w:tcPr>
            <w:tcW w:w="1316" w:type="dxa"/>
            <w:tcBorders>
              <w:top w:val="single" w:sz="8" w:space="0" w:color="auto"/>
              <w:left w:val="nil"/>
              <w:bottom w:val="single" w:sz="8" w:space="0" w:color="auto"/>
              <w:right w:val="single" w:sz="4" w:space="0" w:color="auto"/>
            </w:tcBorders>
            <w:shd w:val="clear" w:color="auto" w:fill="auto"/>
            <w:noWrap/>
            <w:vAlign w:val="bottom"/>
            <w:hideMark/>
          </w:tcPr>
          <w:p w14:paraId="45018168" w14:textId="77777777" w:rsidR="00C31826" w:rsidRPr="00620914" w:rsidRDefault="00C31826" w:rsidP="006A5944">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357</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65CE4BCB" w14:textId="77777777" w:rsidR="00C31826" w:rsidRPr="00620914" w:rsidRDefault="00C31826" w:rsidP="006A5944">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373</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14:paraId="363EA2DB" w14:textId="77777777" w:rsidR="00C31826" w:rsidRPr="00620914" w:rsidRDefault="00C31826" w:rsidP="006A5944">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152</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1BFA8BEB" w14:textId="77777777" w:rsidR="00C31826" w:rsidRPr="00620914" w:rsidRDefault="00C31826" w:rsidP="006A5944">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575</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75D68079" w14:textId="77777777" w:rsidR="00C31826" w:rsidRPr="00620914" w:rsidRDefault="00C31826" w:rsidP="006A5944">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403</w:t>
            </w:r>
          </w:p>
        </w:tc>
      </w:tr>
    </w:tbl>
    <w:p w14:paraId="2894F4A7" w14:textId="77777777" w:rsidR="007E0E6E" w:rsidRPr="00C823E0" w:rsidRDefault="007E0E6E">
      <w:pPr>
        <w:rPr>
          <w:rFonts w:ascii="Aptos" w:hAnsi="Aptos"/>
          <w:sz w:val="22"/>
          <w:szCs w:val="22"/>
        </w:rPr>
      </w:pPr>
    </w:p>
    <w:p w14:paraId="1B5C27BB" w14:textId="3F0E746B" w:rsidR="00522817" w:rsidRPr="00A56139" w:rsidRDefault="00B20CA7">
      <w:pPr>
        <w:rPr>
          <w:rFonts w:ascii="Arial" w:hAnsi="Arial" w:cs="Arial"/>
          <w:sz w:val="24"/>
          <w:szCs w:val="24"/>
        </w:rPr>
      </w:pPr>
      <w:r w:rsidRPr="00A56139">
        <w:rPr>
          <w:rFonts w:ascii="Arial" w:hAnsi="Arial" w:cs="Arial"/>
          <w:sz w:val="24"/>
          <w:szCs w:val="24"/>
        </w:rPr>
        <w:t>3.1</w:t>
      </w:r>
      <w:r w:rsidR="00D946A9" w:rsidRPr="00A56139">
        <w:rPr>
          <w:rFonts w:ascii="Arial" w:hAnsi="Arial" w:cs="Arial"/>
          <w:sz w:val="24"/>
          <w:szCs w:val="24"/>
        </w:rPr>
        <w:t>2</w:t>
      </w:r>
      <w:r w:rsidRPr="00A56139">
        <w:rPr>
          <w:rFonts w:ascii="Arial" w:hAnsi="Arial" w:cs="Arial"/>
          <w:sz w:val="24"/>
          <w:szCs w:val="24"/>
        </w:rPr>
        <w:t xml:space="preserve"> </w:t>
      </w:r>
      <w:proofErr w:type="gramStart"/>
      <w:r w:rsidRPr="00A56139">
        <w:rPr>
          <w:rFonts w:ascii="Arial" w:hAnsi="Arial" w:cs="Arial"/>
          <w:sz w:val="24"/>
          <w:szCs w:val="24"/>
        </w:rPr>
        <w:t>At</w:t>
      </w:r>
      <w:proofErr w:type="gramEnd"/>
      <w:r w:rsidRPr="00A56139">
        <w:rPr>
          <w:rFonts w:ascii="Arial" w:hAnsi="Arial" w:cs="Arial"/>
          <w:sz w:val="24"/>
          <w:szCs w:val="24"/>
        </w:rPr>
        <w:t xml:space="preserve"> 1 April 2025, there was planning permission for</w:t>
      </w:r>
      <w:r w:rsidR="00522817" w:rsidRPr="00A56139">
        <w:rPr>
          <w:rFonts w:ascii="Arial" w:hAnsi="Arial" w:cs="Arial"/>
          <w:sz w:val="24"/>
          <w:szCs w:val="24"/>
        </w:rPr>
        <w:t xml:space="preserve"> </w:t>
      </w:r>
      <w:r w:rsidRPr="00A56139">
        <w:rPr>
          <w:rFonts w:ascii="Arial" w:hAnsi="Arial" w:cs="Arial"/>
          <w:sz w:val="24"/>
          <w:szCs w:val="24"/>
        </w:rPr>
        <w:t xml:space="preserve">575 homes on small sites, including remaining capacity on those sites already under construction. The SHLAA </w:t>
      </w:r>
      <w:r w:rsidRPr="00A56139">
        <w:rPr>
          <w:rFonts w:ascii="Arial" w:hAnsi="Arial" w:cs="Arial"/>
          <w:sz w:val="24"/>
          <w:szCs w:val="24"/>
        </w:rPr>
        <w:lastRenderedPageBreak/>
        <w:t>methodology</w:t>
      </w:r>
      <w:r w:rsidRPr="00A56139">
        <w:rPr>
          <w:rStyle w:val="FootnoteReference"/>
          <w:rFonts w:ascii="Arial" w:hAnsi="Arial" w:cs="Arial"/>
          <w:sz w:val="24"/>
          <w:szCs w:val="24"/>
        </w:rPr>
        <w:footnoteReference w:id="9"/>
      </w:r>
      <w:r w:rsidRPr="00A56139">
        <w:rPr>
          <w:rFonts w:ascii="Arial" w:hAnsi="Arial" w:cs="Arial"/>
          <w:sz w:val="24"/>
          <w:szCs w:val="24"/>
        </w:rPr>
        <w:t xml:space="preserve"> at paragraph 2.74 estimates that 70% of homes on small sites will be delivered, which would comprise 403 dwellings over the 5-year period. The remainder of the homes delivered on small sites during the last two years of the 5-year period </w:t>
      </w:r>
      <w:r w:rsidR="00D946A9" w:rsidRPr="00A56139">
        <w:rPr>
          <w:rFonts w:ascii="Arial" w:hAnsi="Arial" w:cs="Arial"/>
          <w:sz w:val="24"/>
          <w:szCs w:val="24"/>
        </w:rPr>
        <w:t>is based on an allowance</w:t>
      </w:r>
      <w:r w:rsidRPr="00A56139">
        <w:rPr>
          <w:rFonts w:ascii="Arial" w:hAnsi="Arial" w:cs="Arial"/>
          <w:sz w:val="24"/>
          <w:szCs w:val="24"/>
        </w:rPr>
        <w:t xml:space="preserve"> generated from windfall sites that ha</w:t>
      </w:r>
      <w:r w:rsidR="00D946A9" w:rsidRPr="00A56139">
        <w:rPr>
          <w:rFonts w:ascii="Arial" w:hAnsi="Arial" w:cs="Arial"/>
          <w:sz w:val="24"/>
          <w:szCs w:val="24"/>
        </w:rPr>
        <w:t>ve</w:t>
      </w:r>
      <w:r w:rsidRPr="00A56139">
        <w:rPr>
          <w:rFonts w:ascii="Arial" w:hAnsi="Arial" w:cs="Arial"/>
          <w:sz w:val="24"/>
          <w:szCs w:val="24"/>
        </w:rPr>
        <w:t xml:space="preserve"> not yet been granted planning permission </w:t>
      </w:r>
      <w:proofErr w:type="gramStart"/>
      <w:r w:rsidRPr="00A56139">
        <w:rPr>
          <w:rFonts w:ascii="Arial" w:hAnsi="Arial" w:cs="Arial"/>
          <w:sz w:val="24"/>
          <w:szCs w:val="24"/>
        </w:rPr>
        <w:t>at</w:t>
      </w:r>
      <w:proofErr w:type="gramEnd"/>
      <w:r w:rsidRPr="00A56139">
        <w:rPr>
          <w:rFonts w:ascii="Arial" w:hAnsi="Arial" w:cs="Arial"/>
          <w:sz w:val="24"/>
          <w:szCs w:val="24"/>
        </w:rPr>
        <w:t xml:space="preserve"> 1 April 2025. </w:t>
      </w:r>
    </w:p>
    <w:p w14:paraId="44584F6D" w14:textId="19A045AA" w:rsidR="00EA260E" w:rsidRDefault="00522817">
      <w:pPr>
        <w:rPr>
          <w:rFonts w:ascii="Aptos" w:hAnsi="Aptos"/>
          <w:sz w:val="22"/>
          <w:szCs w:val="22"/>
        </w:rPr>
      </w:pPr>
      <w:r w:rsidRPr="00A56139">
        <w:rPr>
          <w:rFonts w:ascii="Arial" w:hAnsi="Arial" w:cs="Arial"/>
          <w:sz w:val="24"/>
          <w:szCs w:val="24"/>
        </w:rPr>
        <w:t>3.1</w:t>
      </w:r>
      <w:r w:rsidR="00D946A9" w:rsidRPr="00A56139">
        <w:rPr>
          <w:rFonts w:ascii="Arial" w:hAnsi="Arial" w:cs="Arial"/>
          <w:sz w:val="24"/>
          <w:szCs w:val="24"/>
        </w:rPr>
        <w:t>3</w:t>
      </w:r>
      <w:r w:rsidRPr="00A56139">
        <w:rPr>
          <w:rFonts w:ascii="Arial" w:hAnsi="Arial" w:cs="Arial"/>
          <w:sz w:val="24"/>
          <w:szCs w:val="24"/>
        </w:rPr>
        <w:t xml:space="preserve"> Paragraph 75 of the NPPF states that where an allowance is made for inclusion of windfall sites as part of anticipated supply, there should be compelling evidence that they will provide a reliable source of supply. Any allowance should be realistic having regard to the strategic housing land availability assessment, historic windfall delivery rates and expected future trends. </w:t>
      </w:r>
      <w:r w:rsidR="00B20CA7" w:rsidRPr="00A56139">
        <w:rPr>
          <w:rFonts w:ascii="Arial" w:hAnsi="Arial" w:cs="Arial"/>
          <w:sz w:val="24"/>
          <w:szCs w:val="24"/>
        </w:rPr>
        <w:t>Table 2 below shows past trends in the delivery of homes on small sites and large site windfalls over the past 12 years and provides robust evidence on the supply of small and large windfall sites coming forward.</w:t>
      </w:r>
    </w:p>
    <w:tbl>
      <w:tblPr>
        <w:tblW w:w="9488" w:type="dxa"/>
        <w:tblLayout w:type="fixed"/>
        <w:tblCellMar>
          <w:top w:w="57" w:type="dxa"/>
          <w:bottom w:w="57" w:type="dxa"/>
        </w:tblCellMar>
        <w:tblLook w:val="04A0" w:firstRow="1" w:lastRow="0" w:firstColumn="1" w:lastColumn="0" w:noHBand="0" w:noVBand="1"/>
      </w:tblPr>
      <w:tblGrid>
        <w:gridCol w:w="1333"/>
        <w:gridCol w:w="679"/>
        <w:gridCol w:w="680"/>
        <w:gridCol w:w="679"/>
        <w:gridCol w:w="680"/>
        <w:gridCol w:w="679"/>
        <w:gridCol w:w="680"/>
        <w:gridCol w:w="680"/>
        <w:gridCol w:w="679"/>
        <w:gridCol w:w="680"/>
        <w:gridCol w:w="679"/>
        <w:gridCol w:w="680"/>
        <w:gridCol w:w="680"/>
      </w:tblGrid>
      <w:tr w:rsidR="00C823E0" w:rsidRPr="00620914" w14:paraId="61BDFDFE" w14:textId="77777777" w:rsidTr="006A5944">
        <w:trPr>
          <w:trHeight w:val="15"/>
        </w:trPr>
        <w:tc>
          <w:tcPr>
            <w:tcW w:w="9488" w:type="dxa"/>
            <w:gridSpan w:val="13"/>
            <w:tcBorders>
              <w:top w:val="single" w:sz="8" w:space="0" w:color="auto"/>
              <w:left w:val="single" w:sz="8" w:space="0" w:color="auto"/>
              <w:bottom w:val="single" w:sz="4" w:space="0" w:color="auto"/>
              <w:right w:val="single" w:sz="8" w:space="0" w:color="auto"/>
            </w:tcBorders>
            <w:shd w:val="clear" w:color="auto" w:fill="auto"/>
            <w:vAlign w:val="center"/>
          </w:tcPr>
          <w:p w14:paraId="08814197" w14:textId="7EAE908E" w:rsidR="00522817" w:rsidRPr="00620914" w:rsidRDefault="00522817" w:rsidP="00522817">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Table 2</w:t>
            </w:r>
            <w:r w:rsidR="00D90418" w:rsidRPr="00620914">
              <w:rPr>
                <w:rFonts w:ascii="Arial" w:eastAsia="Times New Roman" w:hAnsi="Arial" w:cs="Arial"/>
                <w:b/>
                <w:bCs/>
                <w:sz w:val="22"/>
                <w:szCs w:val="22"/>
                <w:lang w:eastAsia="en-GB"/>
              </w:rPr>
              <w:t>:</w:t>
            </w:r>
            <w:r w:rsidRPr="00620914">
              <w:rPr>
                <w:rFonts w:ascii="Arial" w:eastAsia="Times New Roman" w:hAnsi="Arial" w:cs="Arial"/>
                <w:b/>
                <w:bCs/>
                <w:sz w:val="22"/>
                <w:szCs w:val="22"/>
                <w:lang w:eastAsia="en-GB"/>
              </w:rPr>
              <w:t xml:space="preserve"> Completions on </w:t>
            </w:r>
            <w:r w:rsidR="006A5944" w:rsidRPr="00620914">
              <w:rPr>
                <w:rFonts w:ascii="Arial" w:eastAsia="Times New Roman" w:hAnsi="Arial" w:cs="Arial"/>
                <w:b/>
                <w:bCs/>
                <w:sz w:val="22"/>
                <w:szCs w:val="22"/>
                <w:lang w:eastAsia="en-GB"/>
              </w:rPr>
              <w:t>l</w:t>
            </w:r>
            <w:r w:rsidRPr="00620914">
              <w:rPr>
                <w:rFonts w:ascii="Arial" w:eastAsia="Times New Roman" w:hAnsi="Arial" w:cs="Arial"/>
                <w:b/>
                <w:bCs/>
                <w:sz w:val="22"/>
                <w:szCs w:val="22"/>
                <w:lang w:eastAsia="en-GB"/>
              </w:rPr>
              <w:t xml:space="preserve">arge and </w:t>
            </w:r>
            <w:r w:rsidR="006A5944"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 xml:space="preserve">mall </w:t>
            </w:r>
            <w:r w:rsidR="006A5944" w:rsidRPr="00620914">
              <w:rPr>
                <w:rFonts w:ascii="Arial" w:eastAsia="Times New Roman" w:hAnsi="Arial" w:cs="Arial"/>
                <w:b/>
                <w:bCs/>
                <w:sz w:val="22"/>
                <w:szCs w:val="22"/>
                <w:lang w:eastAsia="en-GB"/>
              </w:rPr>
              <w:t>w</w:t>
            </w:r>
            <w:r w:rsidRPr="00620914">
              <w:rPr>
                <w:rFonts w:ascii="Arial" w:eastAsia="Times New Roman" w:hAnsi="Arial" w:cs="Arial"/>
                <w:b/>
                <w:bCs/>
                <w:sz w:val="22"/>
                <w:szCs w:val="22"/>
                <w:lang w:eastAsia="en-GB"/>
              </w:rPr>
              <w:t xml:space="preserve">indfall </w:t>
            </w:r>
            <w:r w:rsidR="006A5944"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ites</w:t>
            </w:r>
          </w:p>
        </w:tc>
      </w:tr>
      <w:tr w:rsidR="006A5944" w:rsidRPr="00620914" w14:paraId="017A854D" w14:textId="77777777" w:rsidTr="006A5944">
        <w:trPr>
          <w:cantSplit/>
          <w:trHeight w:val="1134"/>
        </w:trPr>
        <w:tc>
          <w:tcPr>
            <w:tcW w:w="133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98266F1" w14:textId="5238136D" w:rsidR="00B20CA7" w:rsidRPr="00620914" w:rsidRDefault="00B20CA7" w:rsidP="00EF31E2">
            <w:pPr>
              <w:spacing w:after="0" w:line="240" w:lineRule="auto"/>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 xml:space="preserve">Windfalls </w:t>
            </w:r>
            <w:r w:rsidR="00844824" w:rsidRPr="00620914">
              <w:rPr>
                <w:rFonts w:ascii="Arial" w:eastAsia="Times New Roman" w:hAnsi="Arial" w:cs="Arial"/>
                <w:b/>
                <w:bCs/>
                <w:sz w:val="20"/>
                <w:szCs w:val="20"/>
                <w:lang w:eastAsia="en-GB"/>
              </w:rPr>
              <w:t>f</w:t>
            </w:r>
            <w:r w:rsidRPr="00620914">
              <w:rPr>
                <w:rFonts w:ascii="Arial" w:eastAsia="Times New Roman" w:hAnsi="Arial" w:cs="Arial"/>
                <w:b/>
                <w:bCs/>
                <w:sz w:val="20"/>
                <w:szCs w:val="20"/>
                <w:lang w:eastAsia="en-GB"/>
              </w:rPr>
              <w:t xml:space="preserve">or </w:t>
            </w:r>
            <w:r w:rsidR="00844824" w:rsidRPr="00620914">
              <w:rPr>
                <w:rFonts w:ascii="Arial" w:eastAsia="Times New Roman" w:hAnsi="Arial" w:cs="Arial"/>
                <w:b/>
                <w:bCs/>
                <w:sz w:val="20"/>
                <w:szCs w:val="20"/>
                <w:lang w:eastAsia="en-GB"/>
              </w:rPr>
              <w:t>a</w:t>
            </w:r>
            <w:r w:rsidRPr="00620914">
              <w:rPr>
                <w:rFonts w:ascii="Arial" w:eastAsia="Times New Roman" w:hAnsi="Arial" w:cs="Arial"/>
                <w:b/>
                <w:bCs/>
                <w:sz w:val="20"/>
                <w:szCs w:val="20"/>
                <w:lang w:eastAsia="en-GB"/>
              </w:rPr>
              <w:t>l</w:t>
            </w:r>
            <w:r w:rsidR="00844824" w:rsidRPr="00620914">
              <w:rPr>
                <w:rFonts w:ascii="Arial" w:eastAsia="Times New Roman" w:hAnsi="Arial" w:cs="Arial"/>
                <w:b/>
                <w:bCs/>
                <w:sz w:val="20"/>
                <w:szCs w:val="20"/>
                <w:lang w:eastAsia="en-GB"/>
              </w:rPr>
              <w:t>l</w:t>
            </w:r>
            <w:r w:rsidRPr="00620914">
              <w:rPr>
                <w:rFonts w:ascii="Arial" w:eastAsia="Times New Roman" w:hAnsi="Arial" w:cs="Arial"/>
                <w:b/>
                <w:bCs/>
                <w:sz w:val="20"/>
                <w:szCs w:val="20"/>
                <w:lang w:eastAsia="en-GB"/>
              </w:rPr>
              <w:t xml:space="preserve"> of Rotherham</w:t>
            </w:r>
          </w:p>
        </w:tc>
        <w:tc>
          <w:tcPr>
            <w:tcW w:w="679"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5AB4095C" w14:textId="21E1B851"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2013/14</w:t>
            </w:r>
          </w:p>
        </w:tc>
        <w:tc>
          <w:tcPr>
            <w:tcW w:w="680"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47D7F825" w14:textId="3BAB150B"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2014/15</w:t>
            </w:r>
          </w:p>
        </w:tc>
        <w:tc>
          <w:tcPr>
            <w:tcW w:w="679"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43578898" w14:textId="5FEA66BF"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2015/16</w:t>
            </w:r>
          </w:p>
        </w:tc>
        <w:tc>
          <w:tcPr>
            <w:tcW w:w="680"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1020114E" w14:textId="51D529AA"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2016/17</w:t>
            </w:r>
          </w:p>
        </w:tc>
        <w:tc>
          <w:tcPr>
            <w:tcW w:w="679"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394487E5" w14:textId="6C5BEC47"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2017/18</w:t>
            </w:r>
          </w:p>
        </w:tc>
        <w:tc>
          <w:tcPr>
            <w:tcW w:w="680"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151E3CA1" w14:textId="19B72C9D"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2018/19</w:t>
            </w:r>
          </w:p>
        </w:tc>
        <w:tc>
          <w:tcPr>
            <w:tcW w:w="680"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44089733" w14:textId="38F8647C"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2019/20</w:t>
            </w:r>
          </w:p>
        </w:tc>
        <w:tc>
          <w:tcPr>
            <w:tcW w:w="679"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189D4789" w14:textId="0048E5CF"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2020/21</w:t>
            </w:r>
          </w:p>
        </w:tc>
        <w:tc>
          <w:tcPr>
            <w:tcW w:w="680"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64CE1B99" w14:textId="22F22C8C"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2021/22</w:t>
            </w:r>
          </w:p>
        </w:tc>
        <w:tc>
          <w:tcPr>
            <w:tcW w:w="679"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5205ABB3" w14:textId="75970603"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2022/23</w:t>
            </w:r>
          </w:p>
        </w:tc>
        <w:tc>
          <w:tcPr>
            <w:tcW w:w="680"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3E98DA2E" w14:textId="2682F6A1"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2023/24</w:t>
            </w:r>
          </w:p>
        </w:tc>
        <w:tc>
          <w:tcPr>
            <w:tcW w:w="680" w:type="dxa"/>
            <w:tcBorders>
              <w:top w:val="single" w:sz="8" w:space="0" w:color="auto"/>
              <w:left w:val="nil"/>
              <w:bottom w:val="single" w:sz="8" w:space="0" w:color="auto"/>
              <w:right w:val="single" w:sz="8" w:space="0" w:color="auto"/>
            </w:tcBorders>
            <w:shd w:val="clear" w:color="auto" w:fill="auto"/>
            <w:noWrap/>
            <w:textDirection w:val="btLr"/>
            <w:vAlign w:val="center"/>
            <w:hideMark/>
          </w:tcPr>
          <w:p w14:paraId="08F6DC9F" w14:textId="6D2478CB" w:rsidR="00B20CA7" w:rsidRPr="00620914" w:rsidRDefault="00B20CA7" w:rsidP="006A5944">
            <w:pPr>
              <w:spacing w:after="0" w:line="240" w:lineRule="auto"/>
              <w:ind w:left="113" w:right="113"/>
              <w:jc w:val="center"/>
              <w:rPr>
                <w:rFonts w:ascii="Arial" w:eastAsia="Times New Roman" w:hAnsi="Arial" w:cs="Arial"/>
                <w:b/>
                <w:bCs/>
                <w:sz w:val="20"/>
                <w:szCs w:val="20"/>
                <w:lang w:eastAsia="en-GB"/>
              </w:rPr>
            </w:pPr>
            <w:r w:rsidRPr="00620914">
              <w:rPr>
                <w:rFonts w:ascii="Arial" w:eastAsia="Times New Roman" w:hAnsi="Arial" w:cs="Arial"/>
                <w:b/>
                <w:bCs/>
                <w:sz w:val="20"/>
                <w:szCs w:val="20"/>
                <w:lang w:eastAsia="en-GB"/>
              </w:rPr>
              <w:t>2024/25</w:t>
            </w:r>
          </w:p>
        </w:tc>
      </w:tr>
      <w:tr w:rsidR="006A5944" w:rsidRPr="00620914" w14:paraId="7741E1EB" w14:textId="77777777" w:rsidTr="006A5944">
        <w:trPr>
          <w:trHeight w:val="309"/>
        </w:trPr>
        <w:tc>
          <w:tcPr>
            <w:tcW w:w="1333" w:type="dxa"/>
            <w:tcBorders>
              <w:top w:val="nil"/>
              <w:left w:val="single" w:sz="8" w:space="0" w:color="auto"/>
              <w:bottom w:val="single" w:sz="4" w:space="0" w:color="auto"/>
              <w:right w:val="single" w:sz="8" w:space="0" w:color="auto"/>
            </w:tcBorders>
            <w:shd w:val="clear" w:color="auto" w:fill="auto"/>
            <w:noWrap/>
            <w:vAlign w:val="bottom"/>
            <w:hideMark/>
          </w:tcPr>
          <w:p w14:paraId="54587DAA" w14:textId="063EEFDD" w:rsidR="00B20CA7" w:rsidRPr="00620914" w:rsidRDefault="00B20CA7"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All </w:t>
            </w:r>
            <w:r w:rsidR="006A5944"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 xml:space="preserve">mall </w:t>
            </w:r>
            <w:r w:rsidR="006A5944"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ites</w:t>
            </w:r>
          </w:p>
        </w:tc>
        <w:tc>
          <w:tcPr>
            <w:tcW w:w="679" w:type="dxa"/>
            <w:tcBorders>
              <w:top w:val="nil"/>
              <w:left w:val="nil"/>
              <w:bottom w:val="single" w:sz="4" w:space="0" w:color="auto"/>
              <w:right w:val="single" w:sz="4" w:space="0" w:color="auto"/>
            </w:tcBorders>
            <w:shd w:val="clear" w:color="auto" w:fill="auto"/>
            <w:noWrap/>
            <w:vAlign w:val="bottom"/>
            <w:hideMark/>
          </w:tcPr>
          <w:p w14:paraId="61D9C06B"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81</w:t>
            </w:r>
          </w:p>
        </w:tc>
        <w:tc>
          <w:tcPr>
            <w:tcW w:w="680" w:type="dxa"/>
            <w:tcBorders>
              <w:top w:val="nil"/>
              <w:left w:val="nil"/>
              <w:bottom w:val="single" w:sz="4" w:space="0" w:color="auto"/>
              <w:right w:val="single" w:sz="4" w:space="0" w:color="auto"/>
            </w:tcBorders>
            <w:shd w:val="clear" w:color="auto" w:fill="auto"/>
            <w:noWrap/>
            <w:vAlign w:val="bottom"/>
            <w:hideMark/>
          </w:tcPr>
          <w:p w14:paraId="79B7B01E"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217</w:t>
            </w:r>
          </w:p>
        </w:tc>
        <w:tc>
          <w:tcPr>
            <w:tcW w:w="679" w:type="dxa"/>
            <w:tcBorders>
              <w:top w:val="nil"/>
              <w:left w:val="nil"/>
              <w:bottom w:val="single" w:sz="4" w:space="0" w:color="auto"/>
              <w:right w:val="single" w:sz="4" w:space="0" w:color="auto"/>
            </w:tcBorders>
            <w:shd w:val="clear" w:color="auto" w:fill="auto"/>
            <w:noWrap/>
            <w:vAlign w:val="bottom"/>
            <w:hideMark/>
          </w:tcPr>
          <w:p w14:paraId="16EC7AA4"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190</w:t>
            </w:r>
          </w:p>
        </w:tc>
        <w:tc>
          <w:tcPr>
            <w:tcW w:w="680" w:type="dxa"/>
            <w:tcBorders>
              <w:top w:val="nil"/>
              <w:left w:val="nil"/>
              <w:bottom w:val="single" w:sz="4" w:space="0" w:color="auto"/>
              <w:right w:val="single" w:sz="4" w:space="0" w:color="auto"/>
            </w:tcBorders>
            <w:shd w:val="clear" w:color="auto" w:fill="auto"/>
            <w:noWrap/>
            <w:vAlign w:val="bottom"/>
            <w:hideMark/>
          </w:tcPr>
          <w:p w14:paraId="0929B648"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108</w:t>
            </w:r>
          </w:p>
        </w:tc>
        <w:tc>
          <w:tcPr>
            <w:tcW w:w="679" w:type="dxa"/>
            <w:tcBorders>
              <w:top w:val="nil"/>
              <w:left w:val="nil"/>
              <w:bottom w:val="single" w:sz="4" w:space="0" w:color="auto"/>
              <w:right w:val="single" w:sz="4" w:space="0" w:color="auto"/>
            </w:tcBorders>
            <w:shd w:val="clear" w:color="auto" w:fill="auto"/>
            <w:noWrap/>
            <w:vAlign w:val="bottom"/>
            <w:hideMark/>
          </w:tcPr>
          <w:p w14:paraId="20428D53"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78</w:t>
            </w:r>
          </w:p>
        </w:tc>
        <w:tc>
          <w:tcPr>
            <w:tcW w:w="680" w:type="dxa"/>
            <w:tcBorders>
              <w:top w:val="nil"/>
              <w:left w:val="nil"/>
              <w:bottom w:val="single" w:sz="4" w:space="0" w:color="auto"/>
              <w:right w:val="single" w:sz="4" w:space="0" w:color="auto"/>
            </w:tcBorders>
            <w:shd w:val="clear" w:color="auto" w:fill="auto"/>
            <w:noWrap/>
            <w:vAlign w:val="bottom"/>
            <w:hideMark/>
          </w:tcPr>
          <w:p w14:paraId="3434603A"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127</w:t>
            </w:r>
          </w:p>
        </w:tc>
        <w:tc>
          <w:tcPr>
            <w:tcW w:w="680" w:type="dxa"/>
            <w:tcBorders>
              <w:top w:val="nil"/>
              <w:left w:val="nil"/>
              <w:bottom w:val="single" w:sz="4" w:space="0" w:color="auto"/>
              <w:right w:val="single" w:sz="4" w:space="0" w:color="auto"/>
            </w:tcBorders>
            <w:shd w:val="clear" w:color="auto" w:fill="auto"/>
            <w:noWrap/>
            <w:vAlign w:val="bottom"/>
            <w:hideMark/>
          </w:tcPr>
          <w:p w14:paraId="585C57F4"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109</w:t>
            </w:r>
          </w:p>
        </w:tc>
        <w:tc>
          <w:tcPr>
            <w:tcW w:w="679" w:type="dxa"/>
            <w:tcBorders>
              <w:top w:val="nil"/>
              <w:left w:val="nil"/>
              <w:bottom w:val="single" w:sz="4" w:space="0" w:color="auto"/>
              <w:right w:val="single" w:sz="4" w:space="0" w:color="auto"/>
            </w:tcBorders>
            <w:shd w:val="clear" w:color="auto" w:fill="auto"/>
            <w:noWrap/>
            <w:vAlign w:val="bottom"/>
            <w:hideMark/>
          </w:tcPr>
          <w:p w14:paraId="69A6FF09"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96</w:t>
            </w:r>
          </w:p>
        </w:tc>
        <w:tc>
          <w:tcPr>
            <w:tcW w:w="680" w:type="dxa"/>
            <w:tcBorders>
              <w:top w:val="nil"/>
              <w:left w:val="nil"/>
              <w:bottom w:val="single" w:sz="4" w:space="0" w:color="auto"/>
              <w:right w:val="single" w:sz="4" w:space="0" w:color="auto"/>
            </w:tcBorders>
            <w:shd w:val="clear" w:color="auto" w:fill="auto"/>
            <w:noWrap/>
            <w:vAlign w:val="bottom"/>
            <w:hideMark/>
          </w:tcPr>
          <w:p w14:paraId="4692DC7A"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406</w:t>
            </w:r>
          </w:p>
        </w:tc>
        <w:tc>
          <w:tcPr>
            <w:tcW w:w="679" w:type="dxa"/>
            <w:tcBorders>
              <w:top w:val="nil"/>
              <w:left w:val="nil"/>
              <w:bottom w:val="single" w:sz="4" w:space="0" w:color="auto"/>
              <w:right w:val="single" w:sz="4" w:space="0" w:color="auto"/>
            </w:tcBorders>
            <w:shd w:val="clear" w:color="auto" w:fill="auto"/>
            <w:noWrap/>
            <w:vAlign w:val="bottom"/>
            <w:hideMark/>
          </w:tcPr>
          <w:p w14:paraId="0B2116DB"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62</w:t>
            </w:r>
          </w:p>
        </w:tc>
        <w:tc>
          <w:tcPr>
            <w:tcW w:w="680" w:type="dxa"/>
            <w:tcBorders>
              <w:top w:val="nil"/>
              <w:left w:val="nil"/>
              <w:bottom w:val="single" w:sz="4" w:space="0" w:color="auto"/>
              <w:right w:val="single" w:sz="4" w:space="0" w:color="auto"/>
            </w:tcBorders>
            <w:shd w:val="clear" w:color="auto" w:fill="auto"/>
            <w:noWrap/>
            <w:vAlign w:val="bottom"/>
            <w:hideMark/>
          </w:tcPr>
          <w:p w14:paraId="0F767D91"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61</w:t>
            </w:r>
          </w:p>
        </w:tc>
        <w:tc>
          <w:tcPr>
            <w:tcW w:w="680" w:type="dxa"/>
            <w:tcBorders>
              <w:top w:val="nil"/>
              <w:left w:val="nil"/>
              <w:bottom w:val="single" w:sz="4" w:space="0" w:color="auto"/>
              <w:right w:val="single" w:sz="8" w:space="0" w:color="auto"/>
            </w:tcBorders>
            <w:shd w:val="clear" w:color="auto" w:fill="auto"/>
            <w:noWrap/>
            <w:vAlign w:val="bottom"/>
            <w:hideMark/>
          </w:tcPr>
          <w:p w14:paraId="4FBBEB62"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72</w:t>
            </w:r>
          </w:p>
        </w:tc>
      </w:tr>
      <w:tr w:rsidR="006A5944" w:rsidRPr="00620914" w14:paraId="303CC8EE" w14:textId="77777777" w:rsidTr="006A5944">
        <w:trPr>
          <w:trHeight w:val="375"/>
        </w:trPr>
        <w:tc>
          <w:tcPr>
            <w:tcW w:w="1333" w:type="dxa"/>
            <w:tcBorders>
              <w:top w:val="nil"/>
              <w:left w:val="single" w:sz="8" w:space="0" w:color="auto"/>
              <w:bottom w:val="single" w:sz="4" w:space="0" w:color="auto"/>
              <w:right w:val="single" w:sz="8" w:space="0" w:color="auto"/>
            </w:tcBorders>
            <w:shd w:val="clear" w:color="auto" w:fill="auto"/>
            <w:noWrap/>
            <w:vAlign w:val="bottom"/>
            <w:hideMark/>
          </w:tcPr>
          <w:p w14:paraId="3584F3FA" w14:textId="75BD4980" w:rsidR="00B20CA7" w:rsidRPr="00620914" w:rsidRDefault="00B20CA7"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All </w:t>
            </w:r>
            <w:r w:rsidR="006A5944" w:rsidRPr="00620914">
              <w:rPr>
                <w:rFonts w:ascii="Arial" w:eastAsia="Times New Roman" w:hAnsi="Arial" w:cs="Arial"/>
                <w:sz w:val="22"/>
                <w:szCs w:val="22"/>
                <w:lang w:eastAsia="en-GB"/>
              </w:rPr>
              <w:t>l</w:t>
            </w:r>
            <w:r w:rsidRPr="00620914">
              <w:rPr>
                <w:rFonts w:ascii="Arial" w:eastAsia="Times New Roman" w:hAnsi="Arial" w:cs="Arial"/>
                <w:sz w:val="22"/>
                <w:szCs w:val="22"/>
                <w:lang w:eastAsia="en-GB"/>
              </w:rPr>
              <w:t xml:space="preserve">arge </w:t>
            </w:r>
            <w:r w:rsidR="006A5944"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ites</w:t>
            </w:r>
          </w:p>
        </w:tc>
        <w:tc>
          <w:tcPr>
            <w:tcW w:w="679" w:type="dxa"/>
            <w:tcBorders>
              <w:top w:val="nil"/>
              <w:left w:val="nil"/>
              <w:bottom w:val="single" w:sz="4" w:space="0" w:color="auto"/>
              <w:right w:val="single" w:sz="4" w:space="0" w:color="auto"/>
            </w:tcBorders>
            <w:shd w:val="clear" w:color="auto" w:fill="auto"/>
            <w:noWrap/>
            <w:vAlign w:val="bottom"/>
            <w:hideMark/>
          </w:tcPr>
          <w:p w14:paraId="48907E2F"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108</w:t>
            </w:r>
          </w:p>
        </w:tc>
        <w:tc>
          <w:tcPr>
            <w:tcW w:w="680" w:type="dxa"/>
            <w:tcBorders>
              <w:top w:val="nil"/>
              <w:left w:val="nil"/>
              <w:bottom w:val="single" w:sz="4" w:space="0" w:color="auto"/>
              <w:right w:val="single" w:sz="4" w:space="0" w:color="auto"/>
            </w:tcBorders>
            <w:shd w:val="clear" w:color="auto" w:fill="auto"/>
            <w:noWrap/>
            <w:vAlign w:val="bottom"/>
            <w:hideMark/>
          </w:tcPr>
          <w:p w14:paraId="6A45AC09"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165</w:t>
            </w:r>
          </w:p>
        </w:tc>
        <w:tc>
          <w:tcPr>
            <w:tcW w:w="679" w:type="dxa"/>
            <w:tcBorders>
              <w:top w:val="nil"/>
              <w:left w:val="nil"/>
              <w:bottom w:val="single" w:sz="4" w:space="0" w:color="auto"/>
              <w:right w:val="single" w:sz="4" w:space="0" w:color="auto"/>
            </w:tcBorders>
            <w:shd w:val="clear" w:color="auto" w:fill="auto"/>
            <w:noWrap/>
            <w:vAlign w:val="bottom"/>
            <w:hideMark/>
          </w:tcPr>
          <w:p w14:paraId="0DE5C2BE"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202</w:t>
            </w:r>
          </w:p>
        </w:tc>
        <w:tc>
          <w:tcPr>
            <w:tcW w:w="680" w:type="dxa"/>
            <w:tcBorders>
              <w:top w:val="nil"/>
              <w:left w:val="nil"/>
              <w:bottom w:val="single" w:sz="4" w:space="0" w:color="auto"/>
              <w:right w:val="single" w:sz="4" w:space="0" w:color="auto"/>
            </w:tcBorders>
            <w:shd w:val="clear" w:color="auto" w:fill="auto"/>
            <w:noWrap/>
            <w:vAlign w:val="bottom"/>
            <w:hideMark/>
          </w:tcPr>
          <w:p w14:paraId="426CB4F6"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91</w:t>
            </w:r>
          </w:p>
        </w:tc>
        <w:tc>
          <w:tcPr>
            <w:tcW w:w="679" w:type="dxa"/>
            <w:tcBorders>
              <w:top w:val="nil"/>
              <w:left w:val="nil"/>
              <w:bottom w:val="single" w:sz="4" w:space="0" w:color="auto"/>
              <w:right w:val="single" w:sz="4" w:space="0" w:color="auto"/>
            </w:tcBorders>
            <w:shd w:val="clear" w:color="auto" w:fill="auto"/>
            <w:noWrap/>
            <w:vAlign w:val="bottom"/>
            <w:hideMark/>
          </w:tcPr>
          <w:p w14:paraId="5F671536"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145</w:t>
            </w:r>
          </w:p>
        </w:tc>
        <w:tc>
          <w:tcPr>
            <w:tcW w:w="680" w:type="dxa"/>
            <w:tcBorders>
              <w:top w:val="nil"/>
              <w:left w:val="nil"/>
              <w:bottom w:val="single" w:sz="4" w:space="0" w:color="auto"/>
              <w:right w:val="single" w:sz="4" w:space="0" w:color="auto"/>
            </w:tcBorders>
            <w:shd w:val="clear" w:color="auto" w:fill="auto"/>
            <w:noWrap/>
            <w:vAlign w:val="bottom"/>
            <w:hideMark/>
          </w:tcPr>
          <w:p w14:paraId="10A59C46"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116</w:t>
            </w:r>
          </w:p>
        </w:tc>
        <w:tc>
          <w:tcPr>
            <w:tcW w:w="680" w:type="dxa"/>
            <w:tcBorders>
              <w:top w:val="nil"/>
              <w:left w:val="nil"/>
              <w:bottom w:val="single" w:sz="4" w:space="0" w:color="auto"/>
              <w:right w:val="single" w:sz="4" w:space="0" w:color="auto"/>
            </w:tcBorders>
            <w:shd w:val="clear" w:color="auto" w:fill="auto"/>
            <w:noWrap/>
            <w:vAlign w:val="bottom"/>
            <w:hideMark/>
          </w:tcPr>
          <w:p w14:paraId="3C68F33C"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74</w:t>
            </w:r>
          </w:p>
        </w:tc>
        <w:tc>
          <w:tcPr>
            <w:tcW w:w="679" w:type="dxa"/>
            <w:tcBorders>
              <w:top w:val="nil"/>
              <w:left w:val="nil"/>
              <w:bottom w:val="single" w:sz="4" w:space="0" w:color="auto"/>
              <w:right w:val="single" w:sz="4" w:space="0" w:color="auto"/>
            </w:tcBorders>
            <w:shd w:val="clear" w:color="auto" w:fill="auto"/>
            <w:noWrap/>
            <w:vAlign w:val="bottom"/>
            <w:hideMark/>
          </w:tcPr>
          <w:p w14:paraId="21481B6B"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150</w:t>
            </w:r>
          </w:p>
        </w:tc>
        <w:tc>
          <w:tcPr>
            <w:tcW w:w="680" w:type="dxa"/>
            <w:tcBorders>
              <w:top w:val="nil"/>
              <w:left w:val="nil"/>
              <w:bottom w:val="single" w:sz="4" w:space="0" w:color="auto"/>
              <w:right w:val="single" w:sz="4" w:space="0" w:color="auto"/>
            </w:tcBorders>
            <w:shd w:val="clear" w:color="auto" w:fill="auto"/>
            <w:noWrap/>
            <w:vAlign w:val="bottom"/>
            <w:hideMark/>
          </w:tcPr>
          <w:p w14:paraId="66508A72"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197</w:t>
            </w:r>
          </w:p>
        </w:tc>
        <w:tc>
          <w:tcPr>
            <w:tcW w:w="679" w:type="dxa"/>
            <w:tcBorders>
              <w:top w:val="nil"/>
              <w:left w:val="nil"/>
              <w:bottom w:val="single" w:sz="4" w:space="0" w:color="auto"/>
              <w:right w:val="single" w:sz="4" w:space="0" w:color="auto"/>
            </w:tcBorders>
            <w:shd w:val="clear" w:color="auto" w:fill="auto"/>
            <w:noWrap/>
            <w:vAlign w:val="bottom"/>
            <w:hideMark/>
          </w:tcPr>
          <w:p w14:paraId="3ADC288E"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181</w:t>
            </w:r>
          </w:p>
        </w:tc>
        <w:tc>
          <w:tcPr>
            <w:tcW w:w="680" w:type="dxa"/>
            <w:tcBorders>
              <w:top w:val="nil"/>
              <w:left w:val="nil"/>
              <w:bottom w:val="single" w:sz="4" w:space="0" w:color="auto"/>
              <w:right w:val="single" w:sz="4" w:space="0" w:color="auto"/>
            </w:tcBorders>
            <w:shd w:val="clear" w:color="auto" w:fill="auto"/>
            <w:noWrap/>
            <w:vAlign w:val="bottom"/>
            <w:hideMark/>
          </w:tcPr>
          <w:p w14:paraId="2B0CB411"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63</w:t>
            </w:r>
          </w:p>
        </w:tc>
        <w:tc>
          <w:tcPr>
            <w:tcW w:w="680" w:type="dxa"/>
            <w:tcBorders>
              <w:top w:val="nil"/>
              <w:left w:val="nil"/>
              <w:bottom w:val="single" w:sz="4" w:space="0" w:color="auto"/>
              <w:right w:val="single" w:sz="8" w:space="0" w:color="auto"/>
            </w:tcBorders>
            <w:shd w:val="clear" w:color="auto" w:fill="auto"/>
            <w:noWrap/>
            <w:vAlign w:val="bottom"/>
            <w:hideMark/>
          </w:tcPr>
          <w:p w14:paraId="2164B9E8"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19</w:t>
            </w:r>
          </w:p>
        </w:tc>
      </w:tr>
      <w:tr w:rsidR="006A5944" w:rsidRPr="00620914" w14:paraId="312FD698" w14:textId="77777777" w:rsidTr="006A5944">
        <w:trPr>
          <w:trHeight w:val="301"/>
        </w:trPr>
        <w:tc>
          <w:tcPr>
            <w:tcW w:w="1333" w:type="dxa"/>
            <w:tcBorders>
              <w:top w:val="nil"/>
              <w:left w:val="single" w:sz="8" w:space="0" w:color="auto"/>
              <w:bottom w:val="single" w:sz="4" w:space="0" w:color="auto"/>
              <w:right w:val="single" w:sz="8" w:space="0" w:color="auto"/>
            </w:tcBorders>
            <w:shd w:val="clear" w:color="auto" w:fill="auto"/>
            <w:noWrap/>
            <w:vAlign w:val="bottom"/>
            <w:hideMark/>
          </w:tcPr>
          <w:p w14:paraId="26F52F86" w14:textId="64DF2A2C" w:rsidR="00B20CA7" w:rsidRPr="00620914" w:rsidRDefault="00B20CA7"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Total </w:t>
            </w:r>
            <w:r w:rsidR="006A5944" w:rsidRPr="00620914">
              <w:rPr>
                <w:rFonts w:ascii="Arial" w:eastAsia="Times New Roman" w:hAnsi="Arial" w:cs="Arial"/>
                <w:sz w:val="22"/>
                <w:szCs w:val="22"/>
                <w:lang w:eastAsia="en-GB"/>
              </w:rPr>
              <w:t>w</w:t>
            </w:r>
            <w:r w:rsidRPr="00620914">
              <w:rPr>
                <w:rFonts w:ascii="Arial" w:eastAsia="Times New Roman" w:hAnsi="Arial" w:cs="Arial"/>
                <w:sz w:val="22"/>
                <w:szCs w:val="22"/>
                <w:lang w:eastAsia="en-GB"/>
              </w:rPr>
              <w:t>indfalls</w:t>
            </w:r>
          </w:p>
        </w:tc>
        <w:tc>
          <w:tcPr>
            <w:tcW w:w="679" w:type="dxa"/>
            <w:tcBorders>
              <w:top w:val="nil"/>
              <w:left w:val="nil"/>
              <w:bottom w:val="single" w:sz="4" w:space="0" w:color="auto"/>
              <w:right w:val="single" w:sz="4" w:space="0" w:color="auto"/>
            </w:tcBorders>
            <w:shd w:val="clear" w:color="auto" w:fill="auto"/>
            <w:noWrap/>
            <w:vAlign w:val="bottom"/>
            <w:hideMark/>
          </w:tcPr>
          <w:p w14:paraId="272CF216"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189</w:t>
            </w:r>
          </w:p>
        </w:tc>
        <w:tc>
          <w:tcPr>
            <w:tcW w:w="680" w:type="dxa"/>
            <w:tcBorders>
              <w:top w:val="nil"/>
              <w:left w:val="nil"/>
              <w:bottom w:val="single" w:sz="4" w:space="0" w:color="auto"/>
              <w:right w:val="single" w:sz="4" w:space="0" w:color="auto"/>
            </w:tcBorders>
            <w:shd w:val="clear" w:color="auto" w:fill="auto"/>
            <w:noWrap/>
            <w:vAlign w:val="bottom"/>
            <w:hideMark/>
          </w:tcPr>
          <w:p w14:paraId="024FF7A2"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382</w:t>
            </w:r>
          </w:p>
        </w:tc>
        <w:tc>
          <w:tcPr>
            <w:tcW w:w="679" w:type="dxa"/>
            <w:tcBorders>
              <w:top w:val="nil"/>
              <w:left w:val="nil"/>
              <w:bottom w:val="single" w:sz="4" w:space="0" w:color="auto"/>
              <w:right w:val="single" w:sz="4" w:space="0" w:color="auto"/>
            </w:tcBorders>
            <w:shd w:val="clear" w:color="auto" w:fill="auto"/>
            <w:noWrap/>
            <w:vAlign w:val="bottom"/>
            <w:hideMark/>
          </w:tcPr>
          <w:p w14:paraId="50DBB9D3"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392</w:t>
            </w:r>
          </w:p>
        </w:tc>
        <w:tc>
          <w:tcPr>
            <w:tcW w:w="680" w:type="dxa"/>
            <w:tcBorders>
              <w:top w:val="nil"/>
              <w:left w:val="nil"/>
              <w:bottom w:val="single" w:sz="4" w:space="0" w:color="auto"/>
              <w:right w:val="single" w:sz="4" w:space="0" w:color="auto"/>
            </w:tcBorders>
            <w:shd w:val="clear" w:color="auto" w:fill="auto"/>
            <w:noWrap/>
            <w:vAlign w:val="bottom"/>
            <w:hideMark/>
          </w:tcPr>
          <w:p w14:paraId="1874A16F"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199</w:t>
            </w:r>
          </w:p>
        </w:tc>
        <w:tc>
          <w:tcPr>
            <w:tcW w:w="679" w:type="dxa"/>
            <w:tcBorders>
              <w:top w:val="nil"/>
              <w:left w:val="nil"/>
              <w:bottom w:val="single" w:sz="4" w:space="0" w:color="auto"/>
              <w:right w:val="single" w:sz="4" w:space="0" w:color="auto"/>
            </w:tcBorders>
            <w:shd w:val="clear" w:color="auto" w:fill="auto"/>
            <w:noWrap/>
            <w:vAlign w:val="bottom"/>
            <w:hideMark/>
          </w:tcPr>
          <w:p w14:paraId="4D61D845"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223</w:t>
            </w:r>
          </w:p>
        </w:tc>
        <w:tc>
          <w:tcPr>
            <w:tcW w:w="680" w:type="dxa"/>
            <w:tcBorders>
              <w:top w:val="nil"/>
              <w:left w:val="nil"/>
              <w:bottom w:val="single" w:sz="4" w:space="0" w:color="auto"/>
              <w:right w:val="single" w:sz="4" w:space="0" w:color="auto"/>
            </w:tcBorders>
            <w:shd w:val="clear" w:color="auto" w:fill="auto"/>
            <w:noWrap/>
            <w:vAlign w:val="bottom"/>
            <w:hideMark/>
          </w:tcPr>
          <w:p w14:paraId="3DB2AAB4"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243</w:t>
            </w:r>
          </w:p>
        </w:tc>
        <w:tc>
          <w:tcPr>
            <w:tcW w:w="680" w:type="dxa"/>
            <w:tcBorders>
              <w:top w:val="nil"/>
              <w:left w:val="nil"/>
              <w:bottom w:val="single" w:sz="4" w:space="0" w:color="auto"/>
              <w:right w:val="single" w:sz="4" w:space="0" w:color="auto"/>
            </w:tcBorders>
            <w:shd w:val="clear" w:color="auto" w:fill="auto"/>
            <w:noWrap/>
            <w:vAlign w:val="bottom"/>
            <w:hideMark/>
          </w:tcPr>
          <w:p w14:paraId="0A4B9ADA"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183</w:t>
            </w:r>
          </w:p>
        </w:tc>
        <w:tc>
          <w:tcPr>
            <w:tcW w:w="679" w:type="dxa"/>
            <w:tcBorders>
              <w:top w:val="nil"/>
              <w:left w:val="nil"/>
              <w:bottom w:val="single" w:sz="4" w:space="0" w:color="auto"/>
              <w:right w:val="single" w:sz="4" w:space="0" w:color="auto"/>
            </w:tcBorders>
            <w:shd w:val="clear" w:color="auto" w:fill="auto"/>
            <w:noWrap/>
            <w:vAlign w:val="bottom"/>
            <w:hideMark/>
          </w:tcPr>
          <w:p w14:paraId="11806069"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246</w:t>
            </w:r>
          </w:p>
        </w:tc>
        <w:tc>
          <w:tcPr>
            <w:tcW w:w="680" w:type="dxa"/>
            <w:tcBorders>
              <w:top w:val="nil"/>
              <w:left w:val="nil"/>
              <w:bottom w:val="single" w:sz="4" w:space="0" w:color="auto"/>
              <w:right w:val="single" w:sz="4" w:space="0" w:color="auto"/>
            </w:tcBorders>
            <w:shd w:val="clear" w:color="auto" w:fill="auto"/>
            <w:noWrap/>
            <w:vAlign w:val="bottom"/>
            <w:hideMark/>
          </w:tcPr>
          <w:p w14:paraId="04FF4D00"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603</w:t>
            </w:r>
          </w:p>
        </w:tc>
        <w:tc>
          <w:tcPr>
            <w:tcW w:w="679" w:type="dxa"/>
            <w:tcBorders>
              <w:top w:val="nil"/>
              <w:left w:val="nil"/>
              <w:bottom w:val="single" w:sz="4" w:space="0" w:color="auto"/>
              <w:right w:val="single" w:sz="4" w:space="0" w:color="auto"/>
            </w:tcBorders>
            <w:shd w:val="clear" w:color="auto" w:fill="auto"/>
            <w:noWrap/>
            <w:vAlign w:val="bottom"/>
            <w:hideMark/>
          </w:tcPr>
          <w:p w14:paraId="5139BCF6"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243</w:t>
            </w:r>
          </w:p>
        </w:tc>
        <w:tc>
          <w:tcPr>
            <w:tcW w:w="680" w:type="dxa"/>
            <w:tcBorders>
              <w:top w:val="nil"/>
              <w:left w:val="nil"/>
              <w:bottom w:val="single" w:sz="4" w:space="0" w:color="auto"/>
              <w:right w:val="single" w:sz="4" w:space="0" w:color="auto"/>
            </w:tcBorders>
            <w:shd w:val="clear" w:color="auto" w:fill="auto"/>
            <w:noWrap/>
            <w:vAlign w:val="bottom"/>
            <w:hideMark/>
          </w:tcPr>
          <w:p w14:paraId="2F12F98B"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124</w:t>
            </w:r>
          </w:p>
        </w:tc>
        <w:tc>
          <w:tcPr>
            <w:tcW w:w="680" w:type="dxa"/>
            <w:tcBorders>
              <w:top w:val="nil"/>
              <w:left w:val="nil"/>
              <w:bottom w:val="single" w:sz="4" w:space="0" w:color="auto"/>
              <w:right w:val="single" w:sz="8" w:space="0" w:color="auto"/>
            </w:tcBorders>
            <w:shd w:val="clear" w:color="auto" w:fill="auto"/>
            <w:noWrap/>
            <w:vAlign w:val="bottom"/>
            <w:hideMark/>
          </w:tcPr>
          <w:p w14:paraId="05FC0A9D" w14:textId="77777777" w:rsidR="00B20CA7" w:rsidRPr="00620914" w:rsidRDefault="00B20CA7" w:rsidP="006A5944">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91</w:t>
            </w:r>
          </w:p>
        </w:tc>
      </w:tr>
    </w:tbl>
    <w:p w14:paraId="5E38C2FA" w14:textId="77777777" w:rsidR="00B20CA7" w:rsidRPr="00C823E0" w:rsidRDefault="00B20CA7">
      <w:pPr>
        <w:rPr>
          <w:rFonts w:ascii="Aptos" w:hAnsi="Aptos"/>
          <w:sz w:val="22"/>
          <w:szCs w:val="22"/>
        </w:rPr>
      </w:pPr>
    </w:p>
    <w:p w14:paraId="71849E14" w14:textId="63948DCB" w:rsidR="00B20CA7" w:rsidRPr="00A56139" w:rsidRDefault="00B20CA7" w:rsidP="00B20CA7">
      <w:pPr>
        <w:rPr>
          <w:rFonts w:ascii="Arial" w:hAnsi="Arial" w:cs="Arial"/>
          <w:sz w:val="24"/>
          <w:szCs w:val="24"/>
        </w:rPr>
      </w:pPr>
      <w:r w:rsidRPr="00A56139">
        <w:rPr>
          <w:rFonts w:ascii="Arial" w:hAnsi="Arial" w:cs="Arial"/>
          <w:sz w:val="24"/>
          <w:szCs w:val="24"/>
        </w:rPr>
        <w:t>3.1</w:t>
      </w:r>
      <w:r w:rsidR="00D946A9" w:rsidRPr="00A56139">
        <w:rPr>
          <w:rFonts w:ascii="Arial" w:hAnsi="Arial" w:cs="Arial"/>
          <w:sz w:val="24"/>
          <w:szCs w:val="24"/>
        </w:rPr>
        <w:t>4</w:t>
      </w:r>
      <w:r w:rsidR="00522817" w:rsidRPr="00A56139">
        <w:rPr>
          <w:rFonts w:ascii="Arial" w:hAnsi="Arial" w:cs="Arial"/>
          <w:sz w:val="24"/>
          <w:szCs w:val="24"/>
        </w:rPr>
        <w:t xml:space="preserve"> </w:t>
      </w:r>
      <w:r w:rsidRPr="00A56139">
        <w:rPr>
          <w:rFonts w:ascii="Arial" w:hAnsi="Arial" w:cs="Arial"/>
          <w:sz w:val="24"/>
          <w:szCs w:val="24"/>
        </w:rPr>
        <w:t xml:space="preserve">Average Small Sites Windfalls </w:t>
      </w:r>
      <w:r w:rsidR="00EA260E" w:rsidRPr="00A56139">
        <w:rPr>
          <w:rFonts w:ascii="Arial" w:hAnsi="Arial" w:cs="Arial"/>
          <w:sz w:val="24"/>
          <w:szCs w:val="24"/>
        </w:rPr>
        <w:t>are</w:t>
      </w:r>
      <w:r w:rsidRPr="00A56139">
        <w:rPr>
          <w:rFonts w:ascii="Arial" w:hAnsi="Arial" w:cs="Arial"/>
          <w:sz w:val="24"/>
          <w:szCs w:val="24"/>
        </w:rPr>
        <w:t xml:space="preserve"> </w:t>
      </w:r>
      <w:bookmarkStart w:id="0" w:name="_Hlk204608149"/>
      <w:r w:rsidRPr="00A56139">
        <w:rPr>
          <w:rFonts w:ascii="Arial" w:hAnsi="Arial" w:cs="Arial"/>
          <w:sz w:val="24"/>
          <w:szCs w:val="24"/>
        </w:rPr>
        <w:t>134 dwellings per annum</w:t>
      </w:r>
      <w:bookmarkEnd w:id="0"/>
      <w:r w:rsidRPr="00A56139">
        <w:rPr>
          <w:rFonts w:ascii="Arial" w:hAnsi="Arial" w:cs="Arial"/>
          <w:sz w:val="24"/>
          <w:szCs w:val="24"/>
        </w:rPr>
        <w:t xml:space="preserve">; average Large Site Windfalls </w:t>
      </w:r>
      <w:r w:rsidR="00EA260E" w:rsidRPr="00A56139">
        <w:rPr>
          <w:rFonts w:ascii="Arial" w:hAnsi="Arial" w:cs="Arial"/>
          <w:sz w:val="24"/>
          <w:szCs w:val="24"/>
        </w:rPr>
        <w:t>are</w:t>
      </w:r>
      <w:r w:rsidRPr="00A56139">
        <w:rPr>
          <w:rFonts w:ascii="Arial" w:hAnsi="Arial" w:cs="Arial"/>
          <w:sz w:val="24"/>
          <w:szCs w:val="24"/>
        </w:rPr>
        <w:t xml:space="preserve"> 126 dwellings per annum; total average windfalls </w:t>
      </w:r>
      <w:r w:rsidR="00EA260E" w:rsidRPr="00A56139">
        <w:rPr>
          <w:rFonts w:ascii="Arial" w:hAnsi="Arial" w:cs="Arial"/>
          <w:sz w:val="24"/>
          <w:szCs w:val="24"/>
        </w:rPr>
        <w:t>are</w:t>
      </w:r>
      <w:r w:rsidRPr="00A56139">
        <w:rPr>
          <w:rFonts w:ascii="Arial" w:hAnsi="Arial" w:cs="Arial"/>
          <w:sz w:val="24"/>
          <w:szCs w:val="24"/>
        </w:rPr>
        <w:t xml:space="preserve"> 260 dwellings per annum</w:t>
      </w:r>
      <w:r w:rsidR="00D946A9" w:rsidRPr="00A56139">
        <w:rPr>
          <w:rFonts w:ascii="Arial" w:hAnsi="Arial" w:cs="Arial"/>
          <w:sz w:val="24"/>
          <w:szCs w:val="24"/>
        </w:rPr>
        <w:t>.  Large site windfalls are often identified in the Brownfield Register.</w:t>
      </w:r>
    </w:p>
    <w:p w14:paraId="3A6BEF25" w14:textId="3EEDE7C1" w:rsidR="00083A1C" w:rsidRPr="00A56139" w:rsidRDefault="00522817">
      <w:pPr>
        <w:rPr>
          <w:rFonts w:ascii="Arial" w:hAnsi="Arial" w:cs="Arial"/>
          <w:sz w:val="24"/>
          <w:szCs w:val="24"/>
        </w:rPr>
      </w:pPr>
      <w:r w:rsidRPr="00A56139">
        <w:rPr>
          <w:rFonts w:ascii="Arial" w:hAnsi="Arial" w:cs="Arial"/>
          <w:sz w:val="24"/>
          <w:szCs w:val="24"/>
        </w:rPr>
        <w:t>3.1</w:t>
      </w:r>
      <w:r w:rsidR="00D946A9" w:rsidRPr="00A56139">
        <w:rPr>
          <w:rFonts w:ascii="Arial" w:hAnsi="Arial" w:cs="Arial"/>
          <w:sz w:val="24"/>
          <w:szCs w:val="24"/>
        </w:rPr>
        <w:t>5</w:t>
      </w:r>
      <w:r w:rsidRPr="00A56139">
        <w:rPr>
          <w:rFonts w:ascii="Arial" w:hAnsi="Arial" w:cs="Arial"/>
          <w:sz w:val="24"/>
          <w:szCs w:val="24"/>
        </w:rPr>
        <w:t xml:space="preserve"> </w:t>
      </w:r>
      <w:r w:rsidR="0078205D" w:rsidRPr="00A56139">
        <w:rPr>
          <w:rFonts w:ascii="Arial" w:hAnsi="Arial" w:cs="Arial"/>
          <w:sz w:val="24"/>
          <w:szCs w:val="24"/>
        </w:rPr>
        <w:t>Based on</w:t>
      </w:r>
      <w:r w:rsidRPr="00A56139">
        <w:rPr>
          <w:rFonts w:ascii="Arial" w:hAnsi="Arial" w:cs="Arial"/>
          <w:sz w:val="24"/>
          <w:szCs w:val="24"/>
        </w:rPr>
        <w:t xml:space="preserve"> this</w:t>
      </w:r>
      <w:r w:rsidR="0078205D" w:rsidRPr="00A56139">
        <w:rPr>
          <w:rFonts w:ascii="Arial" w:hAnsi="Arial" w:cs="Arial"/>
          <w:sz w:val="24"/>
          <w:szCs w:val="24"/>
        </w:rPr>
        <w:t xml:space="preserve"> evidence of past rates of delivery for small and large site</w:t>
      </w:r>
      <w:r w:rsidRPr="00A56139">
        <w:rPr>
          <w:rFonts w:ascii="Arial" w:hAnsi="Arial" w:cs="Arial"/>
          <w:sz w:val="24"/>
          <w:szCs w:val="24"/>
        </w:rPr>
        <w:t xml:space="preserve"> windfall</w:t>
      </w:r>
      <w:r w:rsidR="0078205D" w:rsidRPr="00A56139">
        <w:rPr>
          <w:rFonts w:ascii="Arial" w:hAnsi="Arial" w:cs="Arial"/>
          <w:sz w:val="24"/>
          <w:szCs w:val="24"/>
        </w:rPr>
        <w:t>s</w:t>
      </w:r>
      <w:r w:rsidR="00D90418" w:rsidRPr="00A56139">
        <w:rPr>
          <w:rFonts w:ascii="Arial" w:hAnsi="Arial" w:cs="Arial"/>
          <w:sz w:val="24"/>
          <w:szCs w:val="24"/>
        </w:rPr>
        <w:t>, the Council</w:t>
      </w:r>
      <w:r w:rsidRPr="00A56139">
        <w:rPr>
          <w:rFonts w:ascii="Arial" w:hAnsi="Arial" w:cs="Arial"/>
          <w:sz w:val="24"/>
          <w:szCs w:val="24"/>
        </w:rPr>
        <w:t xml:space="preserve"> conclude</w:t>
      </w:r>
      <w:r w:rsidR="00D90418" w:rsidRPr="00A56139">
        <w:rPr>
          <w:rFonts w:ascii="Arial" w:hAnsi="Arial" w:cs="Arial"/>
          <w:sz w:val="24"/>
          <w:szCs w:val="24"/>
        </w:rPr>
        <w:t>s</w:t>
      </w:r>
      <w:r w:rsidRPr="00A56139">
        <w:rPr>
          <w:rFonts w:ascii="Arial" w:hAnsi="Arial" w:cs="Arial"/>
          <w:sz w:val="24"/>
          <w:szCs w:val="24"/>
        </w:rPr>
        <w:t xml:space="preserve"> that it is reasonable to make </w:t>
      </w:r>
      <w:r w:rsidR="0078205D" w:rsidRPr="00A56139">
        <w:rPr>
          <w:rFonts w:ascii="Arial" w:hAnsi="Arial" w:cs="Arial"/>
          <w:sz w:val="24"/>
          <w:szCs w:val="24"/>
        </w:rPr>
        <w:t xml:space="preserve">an allowance of </w:t>
      </w:r>
      <w:r w:rsidRPr="00A56139">
        <w:rPr>
          <w:rFonts w:ascii="Arial" w:hAnsi="Arial" w:cs="Arial"/>
          <w:sz w:val="24"/>
          <w:szCs w:val="24"/>
        </w:rPr>
        <w:t xml:space="preserve">260 dwellings per annum for the last two years </w:t>
      </w:r>
      <w:r w:rsidR="00D946A9" w:rsidRPr="00A56139">
        <w:rPr>
          <w:rFonts w:ascii="Arial" w:hAnsi="Arial" w:cs="Arial"/>
          <w:sz w:val="24"/>
          <w:szCs w:val="24"/>
        </w:rPr>
        <w:t>o</w:t>
      </w:r>
      <w:r w:rsidRPr="00A56139">
        <w:rPr>
          <w:rFonts w:ascii="Arial" w:hAnsi="Arial" w:cs="Arial"/>
          <w:sz w:val="24"/>
          <w:szCs w:val="24"/>
        </w:rPr>
        <w:t>f the five-year supply</w:t>
      </w:r>
      <w:r w:rsidR="0078205D" w:rsidRPr="00A56139">
        <w:rPr>
          <w:rFonts w:ascii="Arial" w:hAnsi="Arial" w:cs="Arial"/>
          <w:sz w:val="24"/>
          <w:szCs w:val="24"/>
        </w:rPr>
        <w:t>. No allowance is made before 2028 as all commitments (where planning permission has been granted and is still extant) are included. This approach avoids any double counting of committed windfalls and projected windfalls based on past completions.</w:t>
      </w:r>
      <w:r w:rsidR="009B594E" w:rsidRPr="00A56139">
        <w:rPr>
          <w:rFonts w:ascii="Arial" w:hAnsi="Arial" w:cs="Arial"/>
          <w:sz w:val="24"/>
          <w:szCs w:val="24"/>
        </w:rPr>
        <w:t xml:space="preserve">  A</w:t>
      </w:r>
      <w:r w:rsidR="00083A1C" w:rsidRPr="00A56139">
        <w:rPr>
          <w:rFonts w:ascii="Arial" w:hAnsi="Arial" w:cs="Arial"/>
          <w:sz w:val="24"/>
          <w:szCs w:val="24"/>
        </w:rPr>
        <w:t xml:space="preserve"> total of </w:t>
      </w:r>
      <w:r w:rsidR="00AA4671" w:rsidRPr="00A56139">
        <w:rPr>
          <w:rFonts w:ascii="Arial" w:hAnsi="Arial" w:cs="Arial"/>
          <w:sz w:val="24"/>
          <w:szCs w:val="24"/>
        </w:rPr>
        <w:t xml:space="preserve">268 </w:t>
      </w:r>
      <w:r w:rsidR="009B594E" w:rsidRPr="00A56139">
        <w:rPr>
          <w:rFonts w:ascii="Arial" w:hAnsi="Arial" w:cs="Arial"/>
          <w:sz w:val="24"/>
          <w:szCs w:val="24"/>
        </w:rPr>
        <w:t>windfall</w:t>
      </w:r>
      <w:r w:rsidR="00083A1C" w:rsidRPr="00A56139">
        <w:rPr>
          <w:rFonts w:ascii="Arial" w:hAnsi="Arial" w:cs="Arial"/>
          <w:sz w:val="24"/>
          <w:szCs w:val="24"/>
        </w:rPr>
        <w:t xml:space="preserve"> homes </w:t>
      </w:r>
      <w:r w:rsidR="00D946A9" w:rsidRPr="00A56139">
        <w:rPr>
          <w:rFonts w:ascii="Arial" w:hAnsi="Arial" w:cs="Arial"/>
          <w:sz w:val="24"/>
          <w:szCs w:val="24"/>
        </w:rPr>
        <w:t xml:space="preserve">on small sites </w:t>
      </w:r>
      <w:r w:rsidR="00B13E9F" w:rsidRPr="00A56139">
        <w:rPr>
          <w:rFonts w:ascii="Arial" w:hAnsi="Arial" w:cs="Arial"/>
          <w:sz w:val="24"/>
          <w:szCs w:val="24"/>
        </w:rPr>
        <w:t xml:space="preserve">are anticipated </w:t>
      </w:r>
      <w:r w:rsidR="00083A1C" w:rsidRPr="00A56139">
        <w:rPr>
          <w:rFonts w:ascii="Arial" w:hAnsi="Arial" w:cs="Arial"/>
          <w:sz w:val="24"/>
          <w:szCs w:val="24"/>
        </w:rPr>
        <w:t xml:space="preserve">over the 5-year period. The </w:t>
      </w:r>
      <w:r w:rsidR="00083A1C" w:rsidRPr="00A56139">
        <w:rPr>
          <w:rFonts w:ascii="Arial" w:hAnsi="Arial" w:cs="Arial"/>
          <w:sz w:val="24"/>
          <w:szCs w:val="24"/>
        </w:rPr>
        <w:lastRenderedPageBreak/>
        <w:t>SHLAA Working Group have previously endorsed this approach. Trends for small site completions will continue to be monitored closely.</w:t>
      </w:r>
    </w:p>
    <w:tbl>
      <w:tblPr>
        <w:tblW w:w="9072" w:type="dxa"/>
        <w:tblCellMar>
          <w:top w:w="57" w:type="dxa"/>
          <w:bottom w:w="57" w:type="dxa"/>
        </w:tblCellMar>
        <w:tblLook w:val="04A0" w:firstRow="1" w:lastRow="0" w:firstColumn="1" w:lastColumn="0" w:noHBand="0" w:noVBand="1"/>
      </w:tblPr>
      <w:tblGrid>
        <w:gridCol w:w="2472"/>
        <w:gridCol w:w="1113"/>
        <w:gridCol w:w="1113"/>
        <w:gridCol w:w="1113"/>
        <w:gridCol w:w="1113"/>
        <w:gridCol w:w="1114"/>
        <w:gridCol w:w="1034"/>
      </w:tblGrid>
      <w:tr w:rsidR="00C823E0" w:rsidRPr="00620914" w14:paraId="7F5C7BB4" w14:textId="77777777" w:rsidTr="00017F2C">
        <w:trPr>
          <w:trHeight w:val="15"/>
        </w:trPr>
        <w:tc>
          <w:tcPr>
            <w:tcW w:w="9072" w:type="dxa"/>
            <w:gridSpan w:val="7"/>
            <w:tcBorders>
              <w:top w:val="single" w:sz="8" w:space="0" w:color="auto"/>
              <w:left w:val="single" w:sz="8" w:space="0" w:color="auto"/>
              <w:bottom w:val="single" w:sz="8" w:space="0" w:color="000000"/>
              <w:right w:val="single" w:sz="8" w:space="0" w:color="auto"/>
            </w:tcBorders>
            <w:shd w:val="clear" w:color="auto" w:fill="auto"/>
            <w:vAlign w:val="center"/>
          </w:tcPr>
          <w:p w14:paraId="20232559" w14:textId="71BC6170" w:rsidR="00F95F57" w:rsidRPr="00620914" w:rsidRDefault="00F95F57" w:rsidP="00F95F57">
            <w:pPr>
              <w:spacing w:after="0" w:line="240" w:lineRule="auto"/>
              <w:rPr>
                <w:rFonts w:ascii="Arial" w:eastAsia="Times New Roman" w:hAnsi="Arial" w:cs="Arial"/>
                <w:b/>
                <w:bCs/>
                <w:sz w:val="22"/>
                <w:szCs w:val="22"/>
                <w:lang w:eastAsia="en-GB"/>
              </w:rPr>
            </w:pPr>
            <w:r w:rsidRPr="00620914">
              <w:rPr>
                <w:rFonts w:ascii="Arial" w:hAnsi="Arial" w:cs="Arial"/>
                <w:b/>
                <w:bCs/>
                <w:sz w:val="22"/>
                <w:szCs w:val="22"/>
              </w:rPr>
              <w:t>Table 3: Small sites trajectory 2025/26 – 2029/30</w:t>
            </w:r>
          </w:p>
        </w:tc>
      </w:tr>
      <w:tr w:rsidR="00017F2C" w:rsidRPr="00620914" w14:paraId="4982357B" w14:textId="77777777" w:rsidTr="00017F2C">
        <w:trPr>
          <w:trHeight w:val="93"/>
        </w:trPr>
        <w:tc>
          <w:tcPr>
            <w:tcW w:w="2472" w:type="dxa"/>
            <w:vMerge w:val="restart"/>
            <w:tcBorders>
              <w:top w:val="single" w:sz="8" w:space="0" w:color="auto"/>
              <w:left w:val="single" w:sz="8" w:space="0" w:color="auto"/>
              <w:right w:val="single" w:sz="8" w:space="0" w:color="auto"/>
            </w:tcBorders>
            <w:shd w:val="clear" w:color="auto" w:fill="auto"/>
            <w:vAlign w:val="center"/>
            <w:hideMark/>
          </w:tcPr>
          <w:p w14:paraId="279A5B15" w14:textId="26C49A18" w:rsidR="00017F2C" w:rsidRPr="00620914" w:rsidRDefault="00017F2C" w:rsidP="009B594E">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Status of deliverable Sites</w:t>
            </w:r>
          </w:p>
        </w:tc>
        <w:tc>
          <w:tcPr>
            <w:tcW w:w="5566" w:type="dxa"/>
            <w:gridSpan w:val="5"/>
            <w:tcBorders>
              <w:top w:val="single" w:sz="8" w:space="0" w:color="auto"/>
              <w:left w:val="nil"/>
              <w:bottom w:val="single" w:sz="8" w:space="0" w:color="auto"/>
              <w:right w:val="single" w:sz="8" w:space="0" w:color="000000"/>
            </w:tcBorders>
            <w:shd w:val="clear" w:color="auto" w:fill="auto"/>
            <w:vAlign w:val="center"/>
            <w:hideMark/>
          </w:tcPr>
          <w:p w14:paraId="67A50759" w14:textId="07B76649" w:rsidR="00017F2C" w:rsidRPr="00620914" w:rsidRDefault="00017F2C" w:rsidP="009B594E">
            <w:pPr>
              <w:spacing w:after="0" w:line="240" w:lineRule="auto"/>
              <w:jc w:val="center"/>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5-year supply </w:t>
            </w:r>
          </w:p>
        </w:tc>
        <w:tc>
          <w:tcPr>
            <w:tcW w:w="1034" w:type="dxa"/>
            <w:vMerge w:val="restart"/>
            <w:tcBorders>
              <w:top w:val="single" w:sz="8" w:space="0" w:color="auto"/>
              <w:left w:val="nil"/>
              <w:right w:val="single" w:sz="8" w:space="0" w:color="auto"/>
            </w:tcBorders>
            <w:shd w:val="clear" w:color="auto" w:fill="auto"/>
            <w:vAlign w:val="center"/>
            <w:hideMark/>
          </w:tcPr>
          <w:p w14:paraId="4117CF8D" w14:textId="46FBF4E6"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Total 5-year supply</w:t>
            </w:r>
          </w:p>
        </w:tc>
      </w:tr>
      <w:tr w:rsidR="00017F2C" w:rsidRPr="00620914" w14:paraId="1154DD01" w14:textId="77777777" w:rsidTr="00017F2C">
        <w:trPr>
          <w:trHeight w:val="20"/>
        </w:trPr>
        <w:tc>
          <w:tcPr>
            <w:tcW w:w="2472" w:type="dxa"/>
            <w:vMerge/>
            <w:tcBorders>
              <w:left w:val="single" w:sz="8" w:space="0" w:color="auto"/>
              <w:bottom w:val="single" w:sz="8" w:space="0" w:color="000000"/>
              <w:right w:val="single" w:sz="8" w:space="0" w:color="auto"/>
            </w:tcBorders>
            <w:shd w:val="clear" w:color="auto" w:fill="auto"/>
            <w:vAlign w:val="center"/>
            <w:hideMark/>
          </w:tcPr>
          <w:p w14:paraId="63231980" w14:textId="77777777" w:rsidR="00017F2C" w:rsidRPr="00620914" w:rsidRDefault="00017F2C" w:rsidP="009B594E">
            <w:pPr>
              <w:spacing w:after="0" w:line="240" w:lineRule="auto"/>
              <w:rPr>
                <w:rFonts w:ascii="Arial" w:eastAsia="Times New Roman" w:hAnsi="Arial" w:cs="Arial"/>
                <w:b/>
                <w:bCs/>
                <w:sz w:val="22"/>
                <w:szCs w:val="22"/>
                <w:lang w:eastAsia="en-GB"/>
              </w:rPr>
            </w:pPr>
          </w:p>
        </w:tc>
        <w:tc>
          <w:tcPr>
            <w:tcW w:w="1113" w:type="dxa"/>
            <w:tcBorders>
              <w:top w:val="nil"/>
              <w:left w:val="nil"/>
              <w:bottom w:val="single" w:sz="8" w:space="0" w:color="auto"/>
              <w:right w:val="single" w:sz="8" w:space="0" w:color="auto"/>
            </w:tcBorders>
            <w:shd w:val="clear" w:color="auto" w:fill="auto"/>
            <w:vAlign w:val="center"/>
            <w:hideMark/>
          </w:tcPr>
          <w:p w14:paraId="549620DC"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2025/26</w:t>
            </w:r>
          </w:p>
        </w:tc>
        <w:tc>
          <w:tcPr>
            <w:tcW w:w="1113" w:type="dxa"/>
            <w:tcBorders>
              <w:top w:val="nil"/>
              <w:left w:val="nil"/>
              <w:bottom w:val="single" w:sz="8" w:space="0" w:color="auto"/>
              <w:right w:val="single" w:sz="8" w:space="0" w:color="auto"/>
            </w:tcBorders>
            <w:shd w:val="clear" w:color="auto" w:fill="auto"/>
            <w:vAlign w:val="center"/>
            <w:hideMark/>
          </w:tcPr>
          <w:p w14:paraId="1E777E34"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2026/27</w:t>
            </w:r>
          </w:p>
        </w:tc>
        <w:tc>
          <w:tcPr>
            <w:tcW w:w="1113" w:type="dxa"/>
            <w:tcBorders>
              <w:top w:val="nil"/>
              <w:left w:val="nil"/>
              <w:bottom w:val="single" w:sz="8" w:space="0" w:color="auto"/>
              <w:right w:val="single" w:sz="8" w:space="0" w:color="auto"/>
            </w:tcBorders>
            <w:shd w:val="clear" w:color="auto" w:fill="auto"/>
            <w:vAlign w:val="center"/>
            <w:hideMark/>
          </w:tcPr>
          <w:p w14:paraId="6931420B"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2027/28</w:t>
            </w:r>
          </w:p>
        </w:tc>
        <w:tc>
          <w:tcPr>
            <w:tcW w:w="1113" w:type="dxa"/>
            <w:tcBorders>
              <w:top w:val="nil"/>
              <w:left w:val="nil"/>
              <w:bottom w:val="single" w:sz="8" w:space="0" w:color="auto"/>
              <w:right w:val="single" w:sz="8" w:space="0" w:color="auto"/>
            </w:tcBorders>
            <w:shd w:val="clear" w:color="auto" w:fill="auto"/>
            <w:vAlign w:val="center"/>
            <w:hideMark/>
          </w:tcPr>
          <w:p w14:paraId="21BF7FD5"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2028/29</w:t>
            </w:r>
          </w:p>
        </w:tc>
        <w:tc>
          <w:tcPr>
            <w:tcW w:w="1114" w:type="dxa"/>
            <w:tcBorders>
              <w:top w:val="nil"/>
              <w:left w:val="nil"/>
              <w:bottom w:val="single" w:sz="8" w:space="0" w:color="auto"/>
              <w:right w:val="single" w:sz="8" w:space="0" w:color="auto"/>
            </w:tcBorders>
            <w:shd w:val="clear" w:color="auto" w:fill="auto"/>
            <w:vAlign w:val="center"/>
            <w:hideMark/>
          </w:tcPr>
          <w:p w14:paraId="4A97CE11"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2029/30</w:t>
            </w:r>
          </w:p>
        </w:tc>
        <w:tc>
          <w:tcPr>
            <w:tcW w:w="1034" w:type="dxa"/>
            <w:vMerge/>
            <w:tcBorders>
              <w:left w:val="nil"/>
              <w:bottom w:val="single" w:sz="8" w:space="0" w:color="000000"/>
              <w:right w:val="single" w:sz="8" w:space="0" w:color="auto"/>
            </w:tcBorders>
            <w:shd w:val="clear" w:color="auto" w:fill="auto"/>
            <w:vAlign w:val="center"/>
            <w:hideMark/>
          </w:tcPr>
          <w:p w14:paraId="3CC94B27" w14:textId="77777777" w:rsidR="00017F2C" w:rsidRPr="00620914" w:rsidRDefault="00017F2C" w:rsidP="009B594E">
            <w:pPr>
              <w:spacing w:after="0" w:line="240" w:lineRule="auto"/>
              <w:rPr>
                <w:rFonts w:ascii="Arial" w:eastAsia="Times New Roman" w:hAnsi="Arial" w:cs="Arial"/>
                <w:b/>
                <w:bCs/>
                <w:sz w:val="22"/>
                <w:szCs w:val="22"/>
                <w:lang w:eastAsia="en-GB"/>
              </w:rPr>
            </w:pPr>
          </w:p>
        </w:tc>
      </w:tr>
      <w:tr w:rsidR="00C823E0" w:rsidRPr="00620914" w14:paraId="3465754C" w14:textId="77777777" w:rsidTr="00017F2C">
        <w:trPr>
          <w:trHeight w:val="23"/>
        </w:trPr>
        <w:tc>
          <w:tcPr>
            <w:tcW w:w="2472" w:type="dxa"/>
            <w:tcBorders>
              <w:top w:val="nil"/>
              <w:left w:val="single" w:sz="8" w:space="0" w:color="auto"/>
              <w:bottom w:val="single" w:sz="8" w:space="0" w:color="auto"/>
              <w:right w:val="single" w:sz="8" w:space="0" w:color="auto"/>
            </w:tcBorders>
            <w:shd w:val="clear" w:color="auto" w:fill="auto"/>
            <w:vAlign w:val="center"/>
            <w:hideMark/>
          </w:tcPr>
          <w:p w14:paraId="1A156A71" w14:textId="77777777" w:rsidR="009B594E" w:rsidRPr="00620914" w:rsidRDefault="009B594E" w:rsidP="009B594E">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Small sites with full or outline permission</w:t>
            </w:r>
          </w:p>
        </w:tc>
        <w:tc>
          <w:tcPr>
            <w:tcW w:w="1113" w:type="dxa"/>
            <w:tcBorders>
              <w:top w:val="nil"/>
              <w:left w:val="nil"/>
              <w:bottom w:val="single" w:sz="8" w:space="0" w:color="auto"/>
              <w:right w:val="single" w:sz="8" w:space="0" w:color="auto"/>
            </w:tcBorders>
            <w:shd w:val="clear" w:color="auto" w:fill="auto"/>
            <w:vAlign w:val="center"/>
            <w:hideMark/>
          </w:tcPr>
          <w:p w14:paraId="42A139CE" w14:textId="77777777"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135</w:t>
            </w:r>
          </w:p>
        </w:tc>
        <w:tc>
          <w:tcPr>
            <w:tcW w:w="1113" w:type="dxa"/>
            <w:tcBorders>
              <w:top w:val="nil"/>
              <w:left w:val="nil"/>
              <w:bottom w:val="single" w:sz="8" w:space="0" w:color="auto"/>
              <w:right w:val="single" w:sz="8" w:space="0" w:color="auto"/>
            </w:tcBorders>
            <w:shd w:val="clear" w:color="auto" w:fill="auto"/>
            <w:vAlign w:val="center"/>
            <w:hideMark/>
          </w:tcPr>
          <w:p w14:paraId="3E337BFD" w14:textId="77777777"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134</w:t>
            </w:r>
          </w:p>
        </w:tc>
        <w:tc>
          <w:tcPr>
            <w:tcW w:w="1113" w:type="dxa"/>
            <w:tcBorders>
              <w:top w:val="nil"/>
              <w:left w:val="nil"/>
              <w:bottom w:val="single" w:sz="8" w:space="0" w:color="auto"/>
              <w:right w:val="single" w:sz="8" w:space="0" w:color="auto"/>
            </w:tcBorders>
            <w:shd w:val="clear" w:color="auto" w:fill="auto"/>
            <w:vAlign w:val="center"/>
            <w:hideMark/>
          </w:tcPr>
          <w:p w14:paraId="58285ED1" w14:textId="77777777"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134</w:t>
            </w:r>
          </w:p>
        </w:tc>
        <w:tc>
          <w:tcPr>
            <w:tcW w:w="1113" w:type="dxa"/>
            <w:tcBorders>
              <w:top w:val="nil"/>
              <w:left w:val="nil"/>
              <w:bottom w:val="single" w:sz="8" w:space="0" w:color="auto"/>
              <w:right w:val="single" w:sz="8" w:space="0" w:color="auto"/>
            </w:tcBorders>
            <w:shd w:val="clear" w:color="auto" w:fill="auto"/>
            <w:vAlign w:val="center"/>
            <w:hideMark/>
          </w:tcPr>
          <w:p w14:paraId="1FCA63D3" w14:textId="77777777"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114" w:type="dxa"/>
            <w:tcBorders>
              <w:top w:val="nil"/>
              <w:left w:val="nil"/>
              <w:bottom w:val="single" w:sz="8" w:space="0" w:color="auto"/>
              <w:right w:val="single" w:sz="8" w:space="0" w:color="auto"/>
            </w:tcBorders>
            <w:shd w:val="clear" w:color="auto" w:fill="auto"/>
            <w:vAlign w:val="center"/>
            <w:hideMark/>
          </w:tcPr>
          <w:p w14:paraId="32645EB5" w14:textId="77777777"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34" w:type="dxa"/>
            <w:tcBorders>
              <w:top w:val="nil"/>
              <w:left w:val="nil"/>
              <w:bottom w:val="single" w:sz="8" w:space="0" w:color="auto"/>
              <w:right w:val="single" w:sz="8" w:space="0" w:color="auto"/>
            </w:tcBorders>
            <w:shd w:val="clear" w:color="auto" w:fill="auto"/>
            <w:vAlign w:val="center"/>
            <w:hideMark/>
          </w:tcPr>
          <w:p w14:paraId="4F92236A" w14:textId="77777777"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403</w:t>
            </w:r>
          </w:p>
        </w:tc>
      </w:tr>
      <w:tr w:rsidR="00C823E0" w:rsidRPr="00620914" w14:paraId="558BBE24" w14:textId="77777777" w:rsidTr="00017F2C">
        <w:trPr>
          <w:trHeight w:val="150"/>
        </w:trPr>
        <w:tc>
          <w:tcPr>
            <w:tcW w:w="2472" w:type="dxa"/>
            <w:tcBorders>
              <w:top w:val="nil"/>
              <w:left w:val="single" w:sz="8" w:space="0" w:color="auto"/>
              <w:bottom w:val="single" w:sz="8" w:space="0" w:color="auto"/>
              <w:right w:val="single" w:sz="8" w:space="0" w:color="auto"/>
            </w:tcBorders>
            <w:shd w:val="clear" w:color="auto" w:fill="auto"/>
            <w:vAlign w:val="center"/>
            <w:hideMark/>
          </w:tcPr>
          <w:p w14:paraId="3351ABA4" w14:textId="0A5348CE" w:rsidR="009B594E" w:rsidRPr="00620914" w:rsidRDefault="009B594E" w:rsidP="009B594E">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Small </w:t>
            </w:r>
            <w:r w:rsidR="009424AD"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 xml:space="preserve">ite </w:t>
            </w:r>
            <w:r w:rsidR="006A5944" w:rsidRPr="00620914">
              <w:rPr>
                <w:rFonts w:ascii="Arial" w:eastAsia="Times New Roman" w:hAnsi="Arial" w:cs="Arial"/>
                <w:sz w:val="22"/>
                <w:szCs w:val="22"/>
                <w:lang w:eastAsia="en-GB"/>
              </w:rPr>
              <w:t>w</w:t>
            </w:r>
            <w:r w:rsidRPr="00620914">
              <w:rPr>
                <w:rFonts w:ascii="Arial" w:eastAsia="Times New Roman" w:hAnsi="Arial" w:cs="Arial"/>
                <w:sz w:val="22"/>
                <w:szCs w:val="22"/>
                <w:lang w:eastAsia="en-GB"/>
              </w:rPr>
              <w:t>indfalls</w:t>
            </w:r>
          </w:p>
        </w:tc>
        <w:tc>
          <w:tcPr>
            <w:tcW w:w="1113" w:type="dxa"/>
            <w:tcBorders>
              <w:top w:val="nil"/>
              <w:left w:val="nil"/>
              <w:bottom w:val="single" w:sz="8" w:space="0" w:color="auto"/>
              <w:right w:val="single" w:sz="8" w:space="0" w:color="auto"/>
            </w:tcBorders>
            <w:shd w:val="clear" w:color="auto" w:fill="auto"/>
            <w:vAlign w:val="center"/>
            <w:hideMark/>
          </w:tcPr>
          <w:p w14:paraId="5F3293E9" w14:textId="77777777"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113" w:type="dxa"/>
            <w:tcBorders>
              <w:top w:val="nil"/>
              <w:left w:val="nil"/>
              <w:bottom w:val="single" w:sz="8" w:space="0" w:color="auto"/>
              <w:right w:val="single" w:sz="8" w:space="0" w:color="auto"/>
            </w:tcBorders>
            <w:shd w:val="clear" w:color="auto" w:fill="auto"/>
            <w:vAlign w:val="center"/>
            <w:hideMark/>
          </w:tcPr>
          <w:p w14:paraId="3261299D" w14:textId="77777777"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113" w:type="dxa"/>
            <w:tcBorders>
              <w:top w:val="nil"/>
              <w:left w:val="nil"/>
              <w:bottom w:val="single" w:sz="8" w:space="0" w:color="auto"/>
              <w:right w:val="single" w:sz="8" w:space="0" w:color="auto"/>
            </w:tcBorders>
            <w:shd w:val="clear" w:color="auto" w:fill="auto"/>
            <w:vAlign w:val="center"/>
            <w:hideMark/>
          </w:tcPr>
          <w:p w14:paraId="548628F3" w14:textId="77777777"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113" w:type="dxa"/>
            <w:tcBorders>
              <w:top w:val="nil"/>
              <w:left w:val="nil"/>
              <w:bottom w:val="single" w:sz="8" w:space="0" w:color="auto"/>
              <w:right w:val="single" w:sz="8" w:space="0" w:color="auto"/>
            </w:tcBorders>
            <w:shd w:val="clear" w:color="auto" w:fill="auto"/>
            <w:vAlign w:val="center"/>
            <w:hideMark/>
          </w:tcPr>
          <w:p w14:paraId="39DDE5F8" w14:textId="5E5960CD"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134</w:t>
            </w:r>
          </w:p>
        </w:tc>
        <w:tc>
          <w:tcPr>
            <w:tcW w:w="1114" w:type="dxa"/>
            <w:tcBorders>
              <w:top w:val="nil"/>
              <w:left w:val="nil"/>
              <w:bottom w:val="single" w:sz="8" w:space="0" w:color="auto"/>
              <w:right w:val="single" w:sz="8" w:space="0" w:color="auto"/>
            </w:tcBorders>
            <w:shd w:val="clear" w:color="auto" w:fill="auto"/>
            <w:vAlign w:val="center"/>
            <w:hideMark/>
          </w:tcPr>
          <w:p w14:paraId="10CC1FF5" w14:textId="7F1D01CC" w:rsidR="009B594E" w:rsidRPr="00620914" w:rsidRDefault="009B594E"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134</w:t>
            </w:r>
          </w:p>
        </w:tc>
        <w:tc>
          <w:tcPr>
            <w:tcW w:w="1034" w:type="dxa"/>
            <w:tcBorders>
              <w:top w:val="nil"/>
              <w:left w:val="nil"/>
              <w:bottom w:val="single" w:sz="8" w:space="0" w:color="auto"/>
              <w:right w:val="single" w:sz="8" w:space="0" w:color="auto"/>
            </w:tcBorders>
            <w:shd w:val="clear" w:color="auto" w:fill="auto"/>
            <w:vAlign w:val="center"/>
            <w:hideMark/>
          </w:tcPr>
          <w:p w14:paraId="01F2AAB6" w14:textId="449D600D" w:rsidR="009B594E" w:rsidRPr="00620914" w:rsidRDefault="00F35D60"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268</w:t>
            </w:r>
          </w:p>
        </w:tc>
      </w:tr>
      <w:tr w:rsidR="00C823E0" w:rsidRPr="00620914" w14:paraId="28117974" w14:textId="77777777" w:rsidTr="00017F2C">
        <w:trPr>
          <w:trHeight w:val="23"/>
        </w:trPr>
        <w:tc>
          <w:tcPr>
            <w:tcW w:w="2472" w:type="dxa"/>
            <w:tcBorders>
              <w:top w:val="nil"/>
              <w:left w:val="single" w:sz="8" w:space="0" w:color="auto"/>
              <w:bottom w:val="single" w:sz="8" w:space="0" w:color="auto"/>
              <w:right w:val="single" w:sz="8" w:space="0" w:color="auto"/>
            </w:tcBorders>
            <w:shd w:val="clear" w:color="auto" w:fill="auto"/>
            <w:vAlign w:val="center"/>
            <w:hideMark/>
          </w:tcPr>
          <w:p w14:paraId="6D0A437E" w14:textId="1A551F84" w:rsidR="009B594E" w:rsidRPr="00620914" w:rsidRDefault="009B594E" w:rsidP="009B594E">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 xml:space="preserve">Overall </w:t>
            </w:r>
            <w:r w:rsidR="006A5944"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 xml:space="preserve">upply </w:t>
            </w:r>
            <w:r w:rsidR="006A5944"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 xml:space="preserve">mall </w:t>
            </w:r>
            <w:r w:rsidR="006A5944"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ites</w:t>
            </w:r>
          </w:p>
        </w:tc>
        <w:tc>
          <w:tcPr>
            <w:tcW w:w="1113" w:type="dxa"/>
            <w:tcBorders>
              <w:top w:val="nil"/>
              <w:left w:val="nil"/>
              <w:bottom w:val="single" w:sz="8" w:space="0" w:color="auto"/>
              <w:right w:val="single" w:sz="8" w:space="0" w:color="auto"/>
            </w:tcBorders>
            <w:shd w:val="clear" w:color="auto" w:fill="auto"/>
            <w:vAlign w:val="center"/>
            <w:hideMark/>
          </w:tcPr>
          <w:p w14:paraId="3DCC3681" w14:textId="0ACB0261" w:rsidR="009B594E" w:rsidRPr="00620914" w:rsidRDefault="009B594E"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135</w:t>
            </w:r>
          </w:p>
        </w:tc>
        <w:tc>
          <w:tcPr>
            <w:tcW w:w="1113" w:type="dxa"/>
            <w:tcBorders>
              <w:top w:val="nil"/>
              <w:left w:val="nil"/>
              <w:bottom w:val="single" w:sz="8" w:space="0" w:color="auto"/>
              <w:right w:val="single" w:sz="8" w:space="0" w:color="auto"/>
            </w:tcBorders>
            <w:shd w:val="clear" w:color="auto" w:fill="auto"/>
            <w:vAlign w:val="center"/>
            <w:hideMark/>
          </w:tcPr>
          <w:p w14:paraId="5E53C4E9" w14:textId="1C5B860B" w:rsidR="009B594E" w:rsidRPr="00620914" w:rsidRDefault="009B594E"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134</w:t>
            </w:r>
          </w:p>
        </w:tc>
        <w:tc>
          <w:tcPr>
            <w:tcW w:w="1113" w:type="dxa"/>
            <w:tcBorders>
              <w:top w:val="nil"/>
              <w:left w:val="nil"/>
              <w:bottom w:val="single" w:sz="8" w:space="0" w:color="auto"/>
              <w:right w:val="single" w:sz="8" w:space="0" w:color="auto"/>
            </w:tcBorders>
            <w:shd w:val="clear" w:color="auto" w:fill="auto"/>
            <w:vAlign w:val="center"/>
            <w:hideMark/>
          </w:tcPr>
          <w:p w14:paraId="4EB5F483" w14:textId="14898DC2" w:rsidR="009B594E" w:rsidRPr="00620914" w:rsidRDefault="009B594E"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134</w:t>
            </w:r>
          </w:p>
        </w:tc>
        <w:tc>
          <w:tcPr>
            <w:tcW w:w="1113" w:type="dxa"/>
            <w:tcBorders>
              <w:top w:val="nil"/>
              <w:left w:val="nil"/>
              <w:bottom w:val="single" w:sz="8" w:space="0" w:color="auto"/>
              <w:right w:val="single" w:sz="8" w:space="0" w:color="auto"/>
            </w:tcBorders>
            <w:shd w:val="clear" w:color="auto" w:fill="auto"/>
            <w:vAlign w:val="center"/>
            <w:hideMark/>
          </w:tcPr>
          <w:p w14:paraId="35722593" w14:textId="113AB12C" w:rsidR="009B594E" w:rsidRPr="00620914" w:rsidRDefault="009B594E"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134</w:t>
            </w:r>
          </w:p>
        </w:tc>
        <w:tc>
          <w:tcPr>
            <w:tcW w:w="1114" w:type="dxa"/>
            <w:tcBorders>
              <w:top w:val="nil"/>
              <w:left w:val="nil"/>
              <w:bottom w:val="single" w:sz="8" w:space="0" w:color="auto"/>
              <w:right w:val="single" w:sz="8" w:space="0" w:color="auto"/>
            </w:tcBorders>
            <w:shd w:val="clear" w:color="auto" w:fill="auto"/>
            <w:vAlign w:val="center"/>
            <w:hideMark/>
          </w:tcPr>
          <w:p w14:paraId="77184606" w14:textId="1347E788" w:rsidR="009B594E" w:rsidRPr="00620914" w:rsidRDefault="009B594E"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134</w:t>
            </w:r>
          </w:p>
        </w:tc>
        <w:tc>
          <w:tcPr>
            <w:tcW w:w="1034" w:type="dxa"/>
            <w:tcBorders>
              <w:top w:val="nil"/>
              <w:left w:val="nil"/>
              <w:bottom w:val="single" w:sz="8" w:space="0" w:color="auto"/>
              <w:right w:val="single" w:sz="8" w:space="0" w:color="auto"/>
            </w:tcBorders>
            <w:shd w:val="clear" w:color="auto" w:fill="auto"/>
            <w:vAlign w:val="center"/>
            <w:hideMark/>
          </w:tcPr>
          <w:p w14:paraId="79435B46" w14:textId="477AFBE6" w:rsidR="009B594E" w:rsidRPr="00620914" w:rsidRDefault="00F35D60"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671</w:t>
            </w:r>
          </w:p>
        </w:tc>
      </w:tr>
    </w:tbl>
    <w:p w14:paraId="7F25B48F" w14:textId="77777777" w:rsidR="009B594E" w:rsidRPr="00C823E0" w:rsidRDefault="009B594E">
      <w:pPr>
        <w:rPr>
          <w:rFonts w:ascii="Aptos" w:hAnsi="Aptos"/>
          <w:b/>
          <w:bCs/>
          <w:sz w:val="22"/>
          <w:szCs w:val="22"/>
        </w:rPr>
      </w:pPr>
    </w:p>
    <w:p w14:paraId="07069DC0" w14:textId="7E6ADE0D" w:rsidR="00FD6A11" w:rsidRPr="000D51E9" w:rsidRDefault="00FD6A11">
      <w:pPr>
        <w:rPr>
          <w:rFonts w:ascii="Arial" w:hAnsi="Arial" w:cs="Arial"/>
          <w:i/>
          <w:iCs/>
          <w:sz w:val="24"/>
          <w:szCs w:val="24"/>
        </w:rPr>
      </w:pPr>
      <w:r w:rsidRPr="000D51E9">
        <w:rPr>
          <w:rFonts w:ascii="Arial" w:hAnsi="Arial" w:cs="Arial"/>
          <w:i/>
          <w:iCs/>
          <w:sz w:val="24"/>
          <w:szCs w:val="24"/>
        </w:rPr>
        <w:t xml:space="preserve">Category B </w:t>
      </w:r>
    </w:p>
    <w:p w14:paraId="0EEDB997" w14:textId="56A4E228" w:rsidR="00446F08" w:rsidRPr="00A56139" w:rsidRDefault="00FD6A11">
      <w:pPr>
        <w:rPr>
          <w:rFonts w:ascii="Arial" w:hAnsi="Arial" w:cs="Arial"/>
          <w:sz w:val="24"/>
          <w:szCs w:val="24"/>
        </w:rPr>
      </w:pPr>
      <w:r w:rsidRPr="00A56139">
        <w:rPr>
          <w:rFonts w:ascii="Arial" w:hAnsi="Arial" w:cs="Arial"/>
          <w:sz w:val="24"/>
          <w:szCs w:val="24"/>
        </w:rPr>
        <w:t>3.</w:t>
      </w:r>
      <w:r w:rsidR="00B13E9F" w:rsidRPr="00A56139">
        <w:rPr>
          <w:rFonts w:ascii="Arial" w:hAnsi="Arial" w:cs="Arial"/>
          <w:sz w:val="24"/>
          <w:szCs w:val="24"/>
        </w:rPr>
        <w:t>1</w:t>
      </w:r>
      <w:r w:rsidR="00D946A9" w:rsidRPr="00A56139">
        <w:rPr>
          <w:rFonts w:ascii="Arial" w:hAnsi="Arial" w:cs="Arial"/>
          <w:sz w:val="24"/>
          <w:szCs w:val="24"/>
        </w:rPr>
        <w:t>6</w:t>
      </w:r>
      <w:r w:rsidRPr="00A56139">
        <w:rPr>
          <w:rFonts w:ascii="Arial" w:hAnsi="Arial" w:cs="Arial"/>
          <w:sz w:val="24"/>
          <w:szCs w:val="24"/>
        </w:rPr>
        <w:t xml:space="preserve"> </w:t>
      </w:r>
      <w:r w:rsidR="006B4D3D" w:rsidRPr="00A56139">
        <w:rPr>
          <w:rFonts w:ascii="Arial" w:hAnsi="Arial" w:cs="Arial"/>
          <w:sz w:val="24"/>
          <w:szCs w:val="24"/>
        </w:rPr>
        <w:t>The Council</w:t>
      </w:r>
      <w:r w:rsidRPr="00A56139">
        <w:rPr>
          <w:rFonts w:ascii="Arial" w:hAnsi="Arial" w:cs="Arial"/>
          <w:sz w:val="24"/>
          <w:szCs w:val="24"/>
        </w:rPr>
        <w:t xml:space="preserve"> </w:t>
      </w:r>
      <w:r w:rsidR="006B4D3D" w:rsidRPr="00A56139">
        <w:rPr>
          <w:rFonts w:ascii="Arial" w:hAnsi="Arial" w:cs="Arial"/>
          <w:sz w:val="24"/>
          <w:szCs w:val="24"/>
        </w:rPr>
        <w:t>has</w:t>
      </w:r>
      <w:r w:rsidRPr="00A56139">
        <w:rPr>
          <w:rFonts w:ascii="Arial" w:hAnsi="Arial" w:cs="Arial"/>
          <w:sz w:val="24"/>
          <w:szCs w:val="24"/>
        </w:rPr>
        <w:t xml:space="preserve"> determined that deliverable sites with outline planning permission have capacity for </w:t>
      </w:r>
      <w:r w:rsidR="00B13E9F" w:rsidRPr="00A56139">
        <w:rPr>
          <w:rFonts w:ascii="Arial" w:hAnsi="Arial" w:cs="Arial"/>
          <w:sz w:val="24"/>
          <w:szCs w:val="24"/>
        </w:rPr>
        <w:t xml:space="preserve">465 </w:t>
      </w:r>
      <w:r w:rsidRPr="00A56139">
        <w:rPr>
          <w:rFonts w:ascii="Arial" w:hAnsi="Arial" w:cs="Arial"/>
          <w:sz w:val="24"/>
          <w:szCs w:val="24"/>
        </w:rPr>
        <w:t xml:space="preserve">homes within the 5-year period. There are also </w:t>
      </w:r>
      <w:r w:rsidR="00B13E9F" w:rsidRPr="00A56139">
        <w:rPr>
          <w:rFonts w:ascii="Arial" w:hAnsi="Arial" w:cs="Arial"/>
          <w:sz w:val="24"/>
          <w:szCs w:val="24"/>
        </w:rPr>
        <w:t>several</w:t>
      </w:r>
      <w:r w:rsidRPr="00A56139">
        <w:rPr>
          <w:rFonts w:ascii="Arial" w:hAnsi="Arial" w:cs="Arial"/>
          <w:sz w:val="24"/>
          <w:szCs w:val="24"/>
        </w:rPr>
        <w:t xml:space="preserve"> site allocations </w:t>
      </w:r>
      <w:r w:rsidR="00B13E9F" w:rsidRPr="00A56139">
        <w:rPr>
          <w:rFonts w:ascii="Arial" w:hAnsi="Arial" w:cs="Arial"/>
          <w:sz w:val="24"/>
          <w:szCs w:val="24"/>
        </w:rPr>
        <w:t xml:space="preserve">from the Sites and Policies Document adopted June 2018, </w:t>
      </w:r>
      <w:r w:rsidRPr="00A56139">
        <w:rPr>
          <w:rFonts w:ascii="Arial" w:hAnsi="Arial" w:cs="Arial"/>
          <w:sz w:val="24"/>
          <w:szCs w:val="24"/>
        </w:rPr>
        <w:t>where pre-application discussions have commenced, or where there is no known impediment to these sites coming forward.</w:t>
      </w:r>
      <w:r w:rsidR="00B13E9F" w:rsidRPr="00A56139">
        <w:rPr>
          <w:rFonts w:ascii="Arial" w:hAnsi="Arial" w:cs="Arial"/>
          <w:sz w:val="24"/>
          <w:szCs w:val="24"/>
        </w:rPr>
        <w:t xml:space="preserve"> These total 939 dwellings.  Finally, as already noted there </w:t>
      </w:r>
      <w:r w:rsidR="00D90418" w:rsidRPr="00A56139">
        <w:rPr>
          <w:rFonts w:ascii="Arial" w:hAnsi="Arial" w:cs="Arial"/>
          <w:sz w:val="24"/>
          <w:szCs w:val="24"/>
        </w:rPr>
        <w:t>are</w:t>
      </w:r>
      <w:r w:rsidR="00B13E9F" w:rsidRPr="00A56139">
        <w:rPr>
          <w:rFonts w:ascii="Arial" w:hAnsi="Arial" w:cs="Arial"/>
          <w:sz w:val="24"/>
          <w:szCs w:val="24"/>
        </w:rPr>
        <w:t xml:space="preserve"> </w:t>
      </w:r>
      <w:proofErr w:type="gramStart"/>
      <w:r w:rsidR="00B13E9F" w:rsidRPr="00A56139">
        <w:rPr>
          <w:rFonts w:ascii="Arial" w:hAnsi="Arial" w:cs="Arial"/>
          <w:sz w:val="24"/>
          <w:szCs w:val="24"/>
        </w:rPr>
        <w:t>a number of</w:t>
      </w:r>
      <w:proofErr w:type="gramEnd"/>
      <w:r w:rsidR="00B13E9F" w:rsidRPr="00A56139">
        <w:rPr>
          <w:rFonts w:ascii="Arial" w:hAnsi="Arial" w:cs="Arial"/>
          <w:sz w:val="24"/>
          <w:szCs w:val="24"/>
        </w:rPr>
        <w:t xml:space="preserve"> large site windfalls with no extant planning permission at 01/04/2025</w:t>
      </w:r>
      <w:r w:rsidR="00A371FA">
        <w:rPr>
          <w:rFonts w:ascii="Arial" w:hAnsi="Arial" w:cs="Arial"/>
          <w:sz w:val="24"/>
          <w:szCs w:val="24"/>
        </w:rPr>
        <w:t>,</w:t>
      </w:r>
      <w:r w:rsidR="00B13E9F" w:rsidRPr="00A56139">
        <w:rPr>
          <w:rFonts w:ascii="Arial" w:hAnsi="Arial" w:cs="Arial"/>
          <w:sz w:val="24"/>
          <w:szCs w:val="24"/>
        </w:rPr>
        <w:t xml:space="preserve"> these total </w:t>
      </w:r>
      <w:r w:rsidR="00745264" w:rsidRPr="00A56139">
        <w:rPr>
          <w:rFonts w:ascii="Arial" w:hAnsi="Arial" w:cs="Arial"/>
          <w:sz w:val="24"/>
          <w:szCs w:val="24"/>
        </w:rPr>
        <w:t>252</w:t>
      </w:r>
      <w:r w:rsidR="00B13E9F" w:rsidRPr="00A56139">
        <w:rPr>
          <w:rFonts w:ascii="Arial" w:hAnsi="Arial" w:cs="Arial"/>
          <w:sz w:val="24"/>
          <w:szCs w:val="24"/>
        </w:rPr>
        <w:t xml:space="preserve"> dwellings that are anticipated to be delivered in the last two years of the </w:t>
      </w:r>
      <w:r w:rsidR="00D946A9" w:rsidRPr="00A56139">
        <w:rPr>
          <w:rFonts w:ascii="Arial" w:hAnsi="Arial" w:cs="Arial"/>
          <w:sz w:val="24"/>
          <w:szCs w:val="24"/>
        </w:rPr>
        <w:t>five-year</w:t>
      </w:r>
      <w:r w:rsidR="00B13E9F" w:rsidRPr="00A56139">
        <w:rPr>
          <w:rFonts w:ascii="Arial" w:hAnsi="Arial" w:cs="Arial"/>
          <w:sz w:val="24"/>
          <w:szCs w:val="24"/>
        </w:rPr>
        <w:t xml:space="preserve"> supply.</w:t>
      </w:r>
      <w:r w:rsidRPr="00A56139">
        <w:rPr>
          <w:rFonts w:ascii="Arial" w:hAnsi="Arial" w:cs="Arial"/>
          <w:sz w:val="24"/>
          <w:szCs w:val="24"/>
        </w:rPr>
        <w:t xml:space="preserve">  All sites and their position with</w:t>
      </w:r>
      <w:r w:rsidR="00D946A9" w:rsidRPr="00A56139">
        <w:rPr>
          <w:rFonts w:ascii="Arial" w:hAnsi="Arial" w:cs="Arial"/>
          <w:sz w:val="24"/>
          <w:szCs w:val="24"/>
        </w:rPr>
        <w:t>in</w:t>
      </w:r>
      <w:r w:rsidRPr="00A56139">
        <w:rPr>
          <w:rFonts w:ascii="Arial" w:hAnsi="Arial" w:cs="Arial"/>
          <w:sz w:val="24"/>
          <w:szCs w:val="24"/>
        </w:rPr>
        <w:t xml:space="preserve"> the housing trajectory are listed in the </w:t>
      </w:r>
      <w:r w:rsidR="00A371FA">
        <w:rPr>
          <w:rFonts w:ascii="Arial" w:hAnsi="Arial" w:cs="Arial"/>
          <w:sz w:val="24"/>
          <w:szCs w:val="24"/>
        </w:rPr>
        <w:t xml:space="preserve">data tables supporting </w:t>
      </w:r>
      <w:r w:rsidRPr="00A56139">
        <w:rPr>
          <w:rFonts w:ascii="Arial" w:hAnsi="Arial" w:cs="Arial"/>
          <w:sz w:val="24"/>
          <w:szCs w:val="24"/>
        </w:rPr>
        <w:t>this report.</w:t>
      </w:r>
    </w:p>
    <w:p w14:paraId="56D74FB0" w14:textId="77777777" w:rsidR="00FD6A11" w:rsidRPr="00A371FA" w:rsidRDefault="00FD6A11">
      <w:pPr>
        <w:rPr>
          <w:rFonts w:ascii="Arial" w:hAnsi="Arial" w:cs="Arial"/>
          <w:sz w:val="24"/>
          <w:szCs w:val="24"/>
          <w:u w:val="single"/>
        </w:rPr>
      </w:pPr>
      <w:r w:rsidRPr="00A371FA">
        <w:rPr>
          <w:rFonts w:ascii="Arial" w:hAnsi="Arial" w:cs="Arial"/>
          <w:sz w:val="24"/>
          <w:szCs w:val="24"/>
          <w:u w:val="single"/>
        </w:rPr>
        <w:t xml:space="preserve">Build rates </w:t>
      </w:r>
    </w:p>
    <w:p w14:paraId="52CF0420" w14:textId="5EDEEC9D" w:rsidR="00FD6A11" w:rsidRPr="00A56139" w:rsidRDefault="00FD6A11">
      <w:pPr>
        <w:rPr>
          <w:rFonts w:ascii="Arial" w:hAnsi="Arial" w:cs="Arial"/>
          <w:sz w:val="24"/>
          <w:szCs w:val="24"/>
        </w:rPr>
      </w:pPr>
      <w:r w:rsidRPr="00A56139">
        <w:rPr>
          <w:rFonts w:ascii="Arial" w:hAnsi="Arial" w:cs="Arial"/>
          <w:sz w:val="24"/>
          <w:szCs w:val="24"/>
        </w:rPr>
        <w:t>3.</w:t>
      </w:r>
      <w:r w:rsidR="00841464" w:rsidRPr="00A56139">
        <w:rPr>
          <w:rFonts w:ascii="Arial" w:hAnsi="Arial" w:cs="Arial"/>
          <w:sz w:val="24"/>
          <w:szCs w:val="24"/>
        </w:rPr>
        <w:t>17</w:t>
      </w:r>
      <w:r w:rsidRPr="00A56139">
        <w:rPr>
          <w:rFonts w:ascii="Arial" w:hAnsi="Arial" w:cs="Arial"/>
          <w:sz w:val="24"/>
          <w:szCs w:val="24"/>
        </w:rPr>
        <w:t xml:space="preserve"> The SHLAA sets out the methodology for estimating build rates and lead</w:t>
      </w:r>
      <w:r w:rsidR="00841464" w:rsidRPr="00A56139">
        <w:rPr>
          <w:rFonts w:ascii="Arial" w:hAnsi="Arial" w:cs="Arial"/>
          <w:sz w:val="24"/>
          <w:szCs w:val="24"/>
        </w:rPr>
        <w:t>-in</w:t>
      </w:r>
      <w:r w:rsidRPr="00A56139">
        <w:rPr>
          <w:rFonts w:ascii="Arial" w:hAnsi="Arial" w:cs="Arial"/>
          <w:sz w:val="24"/>
          <w:szCs w:val="24"/>
        </w:rPr>
        <w:t xml:space="preserve"> times for developing large sites where the developer’s own estimates are not available. In presenting the assumed build out rates and lead in times for sites in the 5-year supply that are not already under construction, </w:t>
      </w:r>
      <w:r w:rsidR="00EA260E" w:rsidRPr="00A56139">
        <w:rPr>
          <w:rFonts w:ascii="Arial" w:hAnsi="Arial" w:cs="Arial"/>
          <w:sz w:val="24"/>
          <w:szCs w:val="24"/>
        </w:rPr>
        <w:t>t</w:t>
      </w:r>
      <w:r w:rsidR="006B4D3D" w:rsidRPr="00A56139">
        <w:rPr>
          <w:rFonts w:ascii="Arial" w:hAnsi="Arial" w:cs="Arial"/>
          <w:sz w:val="24"/>
          <w:szCs w:val="24"/>
        </w:rPr>
        <w:t>he Council</w:t>
      </w:r>
      <w:r w:rsidRPr="00A56139">
        <w:rPr>
          <w:rFonts w:ascii="Arial" w:hAnsi="Arial" w:cs="Arial"/>
          <w:sz w:val="24"/>
          <w:szCs w:val="24"/>
        </w:rPr>
        <w:t xml:space="preserve"> </w:t>
      </w:r>
      <w:r w:rsidR="006B4D3D" w:rsidRPr="00A56139">
        <w:rPr>
          <w:rFonts w:ascii="Arial" w:hAnsi="Arial" w:cs="Arial"/>
          <w:sz w:val="24"/>
          <w:szCs w:val="24"/>
        </w:rPr>
        <w:t>has</w:t>
      </w:r>
      <w:r w:rsidRPr="00A56139">
        <w:rPr>
          <w:rFonts w:ascii="Arial" w:hAnsi="Arial" w:cs="Arial"/>
          <w:sz w:val="24"/>
          <w:szCs w:val="24"/>
        </w:rPr>
        <w:t xml:space="preserve"> taken account of the developer’s estimates where available but considered those estimates in the context of the methodology. This may mean that in some cases estimates are lower than that provided by the developer and in delivery itself. </w:t>
      </w:r>
    </w:p>
    <w:p w14:paraId="05CFDCB8" w14:textId="2B3BDE7A" w:rsidR="00FD6A11" w:rsidRPr="00C823E0" w:rsidRDefault="00FD6A11">
      <w:pPr>
        <w:rPr>
          <w:rFonts w:ascii="Aptos" w:hAnsi="Aptos"/>
          <w:sz w:val="22"/>
          <w:szCs w:val="22"/>
        </w:rPr>
      </w:pPr>
      <w:r w:rsidRPr="00A56139">
        <w:rPr>
          <w:rFonts w:ascii="Arial" w:hAnsi="Arial" w:cs="Arial"/>
          <w:sz w:val="24"/>
          <w:szCs w:val="24"/>
        </w:rPr>
        <w:t>3.</w:t>
      </w:r>
      <w:r w:rsidR="00841464" w:rsidRPr="00A56139">
        <w:rPr>
          <w:rFonts w:ascii="Arial" w:hAnsi="Arial" w:cs="Arial"/>
          <w:sz w:val="24"/>
          <w:szCs w:val="24"/>
        </w:rPr>
        <w:t>18</w:t>
      </w:r>
      <w:r w:rsidRPr="00A56139">
        <w:rPr>
          <w:rFonts w:ascii="Arial" w:hAnsi="Arial" w:cs="Arial"/>
          <w:sz w:val="24"/>
          <w:szCs w:val="24"/>
        </w:rPr>
        <w:t xml:space="preserve"> For reference, the build rate assumptions set out in the SHLAA are shown in Table </w:t>
      </w:r>
      <w:r w:rsidR="00181CCF" w:rsidRPr="00A56139">
        <w:rPr>
          <w:rFonts w:ascii="Arial" w:hAnsi="Arial" w:cs="Arial"/>
          <w:sz w:val="24"/>
          <w:szCs w:val="24"/>
        </w:rPr>
        <w:t>4</w:t>
      </w:r>
      <w:r w:rsidRPr="00A56139">
        <w:rPr>
          <w:rFonts w:ascii="Arial" w:hAnsi="Arial" w:cs="Arial"/>
          <w:sz w:val="24"/>
          <w:szCs w:val="24"/>
        </w:rPr>
        <w:t xml:space="preserve"> below. The build rate assumptions have been agreed previously with representatives of the house building industry through the </w:t>
      </w:r>
      <w:r w:rsidR="0003330A" w:rsidRPr="00A56139">
        <w:rPr>
          <w:rFonts w:ascii="Arial" w:hAnsi="Arial" w:cs="Arial"/>
          <w:sz w:val="24"/>
          <w:szCs w:val="24"/>
        </w:rPr>
        <w:t>S</w:t>
      </w:r>
      <w:r w:rsidRPr="00A56139">
        <w:rPr>
          <w:rFonts w:ascii="Arial" w:hAnsi="Arial" w:cs="Arial"/>
          <w:sz w:val="24"/>
          <w:szCs w:val="24"/>
        </w:rPr>
        <w:t xml:space="preserve">HLAA Working Group. In recent years, </w:t>
      </w:r>
      <w:r w:rsidR="0003330A" w:rsidRPr="00A56139">
        <w:rPr>
          <w:rFonts w:ascii="Arial" w:hAnsi="Arial" w:cs="Arial"/>
          <w:sz w:val="24"/>
          <w:szCs w:val="24"/>
        </w:rPr>
        <w:t>Rotherham</w:t>
      </w:r>
      <w:r w:rsidRPr="00A56139">
        <w:rPr>
          <w:rFonts w:ascii="Arial" w:hAnsi="Arial" w:cs="Arial"/>
          <w:sz w:val="24"/>
          <w:szCs w:val="24"/>
        </w:rPr>
        <w:t xml:space="preserve"> has had </w:t>
      </w:r>
      <w:r w:rsidR="0003330A" w:rsidRPr="00A56139">
        <w:rPr>
          <w:rFonts w:ascii="Arial" w:hAnsi="Arial" w:cs="Arial"/>
          <w:sz w:val="24"/>
          <w:szCs w:val="24"/>
        </w:rPr>
        <w:t>some</w:t>
      </w:r>
      <w:r w:rsidRPr="00A56139">
        <w:rPr>
          <w:rFonts w:ascii="Arial" w:hAnsi="Arial" w:cs="Arial"/>
          <w:sz w:val="24"/>
          <w:szCs w:val="24"/>
        </w:rPr>
        <w:t xml:space="preserve"> large, house-led development sites to use as a benchmark for delivery rates. Analysis of completions and sites under construction since 201</w:t>
      </w:r>
      <w:r w:rsidR="0003330A" w:rsidRPr="00A56139">
        <w:rPr>
          <w:rFonts w:ascii="Arial" w:hAnsi="Arial" w:cs="Arial"/>
          <w:sz w:val="24"/>
          <w:szCs w:val="24"/>
        </w:rPr>
        <w:t>3</w:t>
      </w:r>
      <w:r w:rsidRPr="00A56139">
        <w:rPr>
          <w:rFonts w:ascii="Arial" w:hAnsi="Arial" w:cs="Arial"/>
          <w:sz w:val="24"/>
          <w:szCs w:val="24"/>
        </w:rPr>
        <w:t>/1</w:t>
      </w:r>
      <w:r w:rsidR="0003330A" w:rsidRPr="00A56139">
        <w:rPr>
          <w:rFonts w:ascii="Arial" w:hAnsi="Arial" w:cs="Arial"/>
          <w:sz w:val="24"/>
          <w:szCs w:val="24"/>
        </w:rPr>
        <w:t>4</w:t>
      </w:r>
      <w:r w:rsidRPr="00A56139">
        <w:rPr>
          <w:rFonts w:ascii="Arial" w:hAnsi="Arial" w:cs="Arial"/>
          <w:sz w:val="24"/>
          <w:szCs w:val="24"/>
        </w:rPr>
        <w:t>, where the site has delivered more than 20 houses, shows an average peak delivery of 3</w:t>
      </w:r>
      <w:r w:rsidR="00F15467" w:rsidRPr="00A56139">
        <w:rPr>
          <w:rFonts w:ascii="Arial" w:hAnsi="Arial" w:cs="Arial"/>
          <w:sz w:val="24"/>
          <w:szCs w:val="24"/>
        </w:rPr>
        <w:t>5</w:t>
      </w:r>
      <w:r w:rsidRPr="00A56139">
        <w:rPr>
          <w:rFonts w:ascii="Arial" w:hAnsi="Arial" w:cs="Arial"/>
          <w:sz w:val="24"/>
          <w:szCs w:val="24"/>
        </w:rPr>
        <w:t xml:space="preserve"> homes per year; but this is within the context </w:t>
      </w:r>
      <w:r w:rsidRPr="00A56139">
        <w:rPr>
          <w:rFonts w:ascii="Arial" w:hAnsi="Arial" w:cs="Arial"/>
          <w:sz w:val="24"/>
          <w:szCs w:val="24"/>
        </w:rPr>
        <w:lastRenderedPageBreak/>
        <w:t xml:space="preserve">of a very wide range. </w:t>
      </w:r>
      <w:r w:rsidR="006B4D3D" w:rsidRPr="00A56139">
        <w:rPr>
          <w:rFonts w:ascii="Arial" w:hAnsi="Arial" w:cs="Arial"/>
          <w:sz w:val="24"/>
          <w:szCs w:val="24"/>
        </w:rPr>
        <w:t>The Council</w:t>
      </w:r>
      <w:r w:rsidRPr="00A56139">
        <w:rPr>
          <w:rFonts w:ascii="Arial" w:hAnsi="Arial" w:cs="Arial"/>
          <w:sz w:val="24"/>
          <w:szCs w:val="24"/>
        </w:rPr>
        <w:t xml:space="preserve"> therefore consider</w:t>
      </w:r>
      <w:r w:rsidR="006B4D3D" w:rsidRPr="00A56139">
        <w:rPr>
          <w:rFonts w:ascii="Arial" w:hAnsi="Arial" w:cs="Arial"/>
          <w:sz w:val="24"/>
          <w:szCs w:val="24"/>
        </w:rPr>
        <w:t>s</w:t>
      </w:r>
      <w:r w:rsidRPr="00A56139">
        <w:rPr>
          <w:rFonts w:ascii="Arial" w:hAnsi="Arial" w:cs="Arial"/>
          <w:sz w:val="24"/>
          <w:szCs w:val="24"/>
        </w:rPr>
        <w:t xml:space="preserve"> that it remains appropriate to use the assumptions set out in the </w:t>
      </w:r>
      <w:r w:rsidR="00A371FA">
        <w:rPr>
          <w:rFonts w:ascii="Arial" w:hAnsi="Arial" w:cs="Arial"/>
          <w:sz w:val="24"/>
          <w:szCs w:val="24"/>
        </w:rPr>
        <w:t>t</w:t>
      </w:r>
      <w:r w:rsidRPr="00A56139">
        <w:rPr>
          <w:rFonts w:ascii="Arial" w:hAnsi="Arial" w:cs="Arial"/>
          <w:sz w:val="24"/>
          <w:szCs w:val="24"/>
        </w:rPr>
        <w:t xml:space="preserve">able </w:t>
      </w:r>
      <w:r w:rsidR="00A371FA">
        <w:rPr>
          <w:rFonts w:ascii="Arial" w:hAnsi="Arial" w:cs="Arial"/>
          <w:sz w:val="24"/>
          <w:szCs w:val="24"/>
        </w:rPr>
        <w:t>below</w:t>
      </w:r>
      <w:r w:rsidRPr="00C823E0">
        <w:rPr>
          <w:rFonts w:ascii="Aptos" w:hAnsi="Aptos"/>
          <w:sz w:val="22"/>
          <w:szCs w:val="22"/>
        </w:rPr>
        <w:t>.</w:t>
      </w:r>
    </w:p>
    <w:tbl>
      <w:tblPr>
        <w:tblStyle w:val="TableGrid"/>
        <w:tblW w:w="9072" w:type="dxa"/>
        <w:tblCellMar>
          <w:top w:w="57" w:type="dxa"/>
          <w:bottom w:w="57" w:type="dxa"/>
        </w:tblCellMar>
        <w:tblLook w:val="04A0" w:firstRow="1" w:lastRow="0" w:firstColumn="1" w:lastColumn="0" w:noHBand="0" w:noVBand="1"/>
      </w:tblPr>
      <w:tblGrid>
        <w:gridCol w:w="2268"/>
        <w:gridCol w:w="2268"/>
        <w:gridCol w:w="2268"/>
        <w:gridCol w:w="2268"/>
      </w:tblGrid>
      <w:tr w:rsidR="00C823E0" w:rsidRPr="00620914" w14:paraId="47F1D9C4" w14:textId="77777777" w:rsidTr="00017F2C">
        <w:trPr>
          <w:cantSplit/>
          <w:trHeight w:val="25"/>
        </w:trPr>
        <w:tc>
          <w:tcPr>
            <w:tcW w:w="9072" w:type="dxa"/>
            <w:gridSpan w:val="4"/>
          </w:tcPr>
          <w:p w14:paraId="27E2EEDA" w14:textId="30858F73" w:rsidR="007E0E6E" w:rsidRPr="00620914" w:rsidRDefault="007E0E6E" w:rsidP="0003330A">
            <w:pPr>
              <w:rPr>
                <w:rFonts w:ascii="Arial" w:hAnsi="Arial" w:cs="Arial"/>
                <w:b/>
                <w:bCs/>
                <w:sz w:val="22"/>
                <w:szCs w:val="22"/>
              </w:rPr>
            </w:pPr>
            <w:r w:rsidRPr="00620914">
              <w:rPr>
                <w:rFonts w:ascii="Arial" w:hAnsi="Arial" w:cs="Arial"/>
                <w:b/>
                <w:bCs/>
                <w:sz w:val="22"/>
                <w:szCs w:val="22"/>
              </w:rPr>
              <w:t xml:space="preserve">Table 4: Build </w:t>
            </w:r>
            <w:r w:rsidR="00EA260E" w:rsidRPr="00620914">
              <w:rPr>
                <w:rFonts w:ascii="Arial" w:hAnsi="Arial" w:cs="Arial"/>
                <w:b/>
                <w:bCs/>
                <w:sz w:val="22"/>
                <w:szCs w:val="22"/>
              </w:rPr>
              <w:t>r</w:t>
            </w:r>
            <w:r w:rsidRPr="00620914">
              <w:rPr>
                <w:rFonts w:ascii="Arial" w:hAnsi="Arial" w:cs="Arial"/>
                <w:b/>
                <w:bCs/>
                <w:sz w:val="22"/>
                <w:szCs w:val="22"/>
              </w:rPr>
              <w:t xml:space="preserve">ate </w:t>
            </w:r>
            <w:r w:rsidR="00EA260E" w:rsidRPr="00620914">
              <w:rPr>
                <w:rFonts w:ascii="Arial" w:hAnsi="Arial" w:cs="Arial"/>
                <w:b/>
                <w:bCs/>
                <w:sz w:val="22"/>
                <w:szCs w:val="22"/>
              </w:rPr>
              <w:t>a</w:t>
            </w:r>
            <w:r w:rsidRPr="00620914">
              <w:rPr>
                <w:rFonts w:ascii="Arial" w:hAnsi="Arial" w:cs="Arial"/>
                <w:b/>
                <w:bCs/>
                <w:sz w:val="22"/>
                <w:szCs w:val="22"/>
              </w:rPr>
              <w:t xml:space="preserve">ssumptions on </w:t>
            </w:r>
            <w:r w:rsidR="00EA260E" w:rsidRPr="00620914">
              <w:rPr>
                <w:rFonts w:ascii="Arial" w:hAnsi="Arial" w:cs="Arial"/>
                <w:b/>
                <w:bCs/>
                <w:sz w:val="22"/>
                <w:szCs w:val="22"/>
              </w:rPr>
              <w:t>l</w:t>
            </w:r>
            <w:r w:rsidRPr="00620914">
              <w:rPr>
                <w:rFonts w:ascii="Arial" w:hAnsi="Arial" w:cs="Arial"/>
                <w:b/>
                <w:bCs/>
                <w:sz w:val="22"/>
                <w:szCs w:val="22"/>
              </w:rPr>
              <w:t xml:space="preserve">arge </w:t>
            </w:r>
            <w:r w:rsidR="00EA260E" w:rsidRPr="00620914">
              <w:rPr>
                <w:rFonts w:ascii="Arial" w:hAnsi="Arial" w:cs="Arial"/>
                <w:b/>
                <w:bCs/>
                <w:sz w:val="22"/>
                <w:szCs w:val="22"/>
              </w:rPr>
              <w:t>s</w:t>
            </w:r>
            <w:r w:rsidRPr="00620914">
              <w:rPr>
                <w:rFonts w:ascii="Arial" w:hAnsi="Arial" w:cs="Arial"/>
                <w:b/>
                <w:bCs/>
                <w:sz w:val="22"/>
                <w:szCs w:val="22"/>
              </w:rPr>
              <w:t>ites (Rotherham)</w:t>
            </w:r>
          </w:p>
        </w:tc>
      </w:tr>
      <w:tr w:rsidR="00C823E0" w:rsidRPr="00620914" w14:paraId="4603C3E4" w14:textId="77777777" w:rsidTr="00017F2C">
        <w:trPr>
          <w:cantSplit/>
          <w:trHeight w:val="509"/>
        </w:trPr>
        <w:tc>
          <w:tcPr>
            <w:tcW w:w="2268" w:type="dxa"/>
          </w:tcPr>
          <w:p w14:paraId="0841FFF8" w14:textId="2F6134B9" w:rsidR="0003330A" w:rsidRPr="00620914" w:rsidRDefault="0003330A" w:rsidP="0003330A">
            <w:pPr>
              <w:rPr>
                <w:rFonts w:ascii="Arial" w:hAnsi="Arial" w:cs="Arial"/>
                <w:sz w:val="22"/>
                <w:szCs w:val="22"/>
              </w:rPr>
            </w:pPr>
            <w:r w:rsidRPr="00620914">
              <w:rPr>
                <w:rFonts w:ascii="Arial" w:hAnsi="Arial" w:cs="Arial"/>
                <w:sz w:val="22"/>
                <w:szCs w:val="22"/>
              </w:rPr>
              <w:t>Type of Site</w:t>
            </w:r>
          </w:p>
        </w:tc>
        <w:tc>
          <w:tcPr>
            <w:tcW w:w="2268" w:type="dxa"/>
          </w:tcPr>
          <w:p w14:paraId="670576C0" w14:textId="514FBF2E" w:rsidR="0003330A" w:rsidRPr="00620914" w:rsidRDefault="0003330A" w:rsidP="00EA260E">
            <w:pPr>
              <w:jc w:val="center"/>
              <w:rPr>
                <w:rFonts w:ascii="Arial" w:hAnsi="Arial" w:cs="Arial"/>
                <w:sz w:val="22"/>
                <w:szCs w:val="22"/>
              </w:rPr>
            </w:pPr>
            <w:r w:rsidRPr="00620914">
              <w:rPr>
                <w:rFonts w:ascii="Arial" w:hAnsi="Arial" w:cs="Arial"/>
                <w:sz w:val="22"/>
                <w:szCs w:val="22"/>
              </w:rPr>
              <w:t xml:space="preserve">Assumed </w:t>
            </w:r>
            <w:r w:rsidR="00EA260E" w:rsidRPr="00620914">
              <w:rPr>
                <w:rFonts w:ascii="Arial" w:hAnsi="Arial" w:cs="Arial"/>
                <w:sz w:val="22"/>
                <w:szCs w:val="22"/>
              </w:rPr>
              <w:t>d</w:t>
            </w:r>
            <w:r w:rsidRPr="00620914">
              <w:rPr>
                <w:rFonts w:ascii="Arial" w:hAnsi="Arial" w:cs="Arial"/>
                <w:sz w:val="22"/>
                <w:szCs w:val="22"/>
              </w:rPr>
              <w:t>wellings per year 2012/13 and 2013/14</w:t>
            </w:r>
          </w:p>
        </w:tc>
        <w:tc>
          <w:tcPr>
            <w:tcW w:w="2268" w:type="dxa"/>
          </w:tcPr>
          <w:p w14:paraId="57A9A3A7" w14:textId="1AA2F30F" w:rsidR="0003330A" w:rsidRPr="00620914" w:rsidRDefault="0003330A" w:rsidP="00EA260E">
            <w:pPr>
              <w:jc w:val="center"/>
              <w:rPr>
                <w:rFonts w:ascii="Arial" w:hAnsi="Arial" w:cs="Arial"/>
                <w:sz w:val="22"/>
                <w:szCs w:val="22"/>
              </w:rPr>
            </w:pPr>
            <w:r w:rsidRPr="00620914">
              <w:rPr>
                <w:rFonts w:ascii="Arial" w:hAnsi="Arial" w:cs="Arial"/>
                <w:sz w:val="22"/>
                <w:szCs w:val="22"/>
              </w:rPr>
              <w:t xml:space="preserve">Assumed </w:t>
            </w:r>
            <w:r w:rsidR="00EA260E" w:rsidRPr="00620914">
              <w:rPr>
                <w:rFonts w:ascii="Arial" w:hAnsi="Arial" w:cs="Arial"/>
                <w:sz w:val="22"/>
                <w:szCs w:val="22"/>
              </w:rPr>
              <w:t>d</w:t>
            </w:r>
            <w:r w:rsidRPr="00620914">
              <w:rPr>
                <w:rFonts w:ascii="Arial" w:hAnsi="Arial" w:cs="Arial"/>
                <w:sz w:val="22"/>
                <w:szCs w:val="22"/>
              </w:rPr>
              <w:t>wellings per year 2014/15 to 2015/16</w:t>
            </w:r>
          </w:p>
        </w:tc>
        <w:tc>
          <w:tcPr>
            <w:tcW w:w="2268" w:type="dxa"/>
          </w:tcPr>
          <w:p w14:paraId="21F819D5" w14:textId="4AC328E1" w:rsidR="0003330A" w:rsidRPr="00620914" w:rsidRDefault="0003330A" w:rsidP="00EA260E">
            <w:pPr>
              <w:jc w:val="center"/>
              <w:rPr>
                <w:rFonts w:ascii="Arial" w:hAnsi="Arial" w:cs="Arial"/>
                <w:sz w:val="22"/>
                <w:szCs w:val="22"/>
              </w:rPr>
            </w:pPr>
            <w:r w:rsidRPr="00620914">
              <w:rPr>
                <w:rFonts w:ascii="Arial" w:hAnsi="Arial" w:cs="Arial"/>
                <w:sz w:val="22"/>
                <w:szCs w:val="22"/>
              </w:rPr>
              <w:t xml:space="preserve">Assumed </w:t>
            </w:r>
            <w:r w:rsidR="00EA260E" w:rsidRPr="00620914">
              <w:rPr>
                <w:rFonts w:ascii="Arial" w:hAnsi="Arial" w:cs="Arial"/>
                <w:sz w:val="22"/>
                <w:szCs w:val="22"/>
              </w:rPr>
              <w:t>d</w:t>
            </w:r>
            <w:r w:rsidRPr="00620914">
              <w:rPr>
                <w:rFonts w:ascii="Arial" w:hAnsi="Arial" w:cs="Arial"/>
                <w:sz w:val="22"/>
                <w:szCs w:val="22"/>
              </w:rPr>
              <w:t>wellings per year 2016/17 onwards</w:t>
            </w:r>
          </w:p>
        </w:tc>
      </w:tr>
      <w:tr w:rsidR="00C823E0" w:rsidRPr="00620914" w14:paraId="463438BB" w14:textId="77777777" w:rsidTr="00017F2C">
        <w:trPr>
          <w:trHeight w:val="296"/>
        </w:trPr>
        <w:tc>
          <w:tcPr>
            <w:tcW w:w="2268" w:type="dxa"/>
          </w:tcPr>
          <w:p w14:paraId="197ECE8F" w14:textId="72683F71" w:rsidR="0003330A" w:rsidRPr="00620914" w:rsidRDefault="0003330A">
            <w:pPr>
              <w:rPr>
                <w:rFonts w:ascii="Arial" w:hAnsi="Arial" w:cs="Arial"/>
                <w:sz w:val="22"/>
                <w:szCs w:val="22"/>
              </w:rPr>
            </w:pPr>
            <w:r w:rsidRPr="00620914">
              <w:rPr>
                <w:rFonts w:ascii="Arial" w:hAnsi="Arial" w:cs="Arial"/>
                <w:sz w:val="22"/>
                <w:szCs w:val="22"/>
              </w:rPr>
              <w:t>At least 90% houses, single builder</w:t>
            </w:r>
          </w:p>
        </w:tc>
        <w:tc>
          <w:tcPr>
            <w:tcW w:w="2268" w:type="dxa"/>
          </w:tcPr>
          <w:p w14:paraId="30C6F76D" w14:textId="0422DEA4" w:rsidR="0003330A" w:rsidRPr="00620914" w:rsidRDefault="0003330A" w:rsidP="00EA260E">
            <w:pPr>
              <w:jc w:val="center"/>
              <w:rPr>
                <w:rFonts w:ascii="Arial" w:hAnsi="Arial" w:cs="Arial"/>
                <w:sz w:val="22"/>
                <w:szCs w:val="22"/>
              </w:rPr>
            </w:pPr>
            <w:r w:rsidRPr="00620914">
              <w:rPr>
                <w:rFonts w:ascii="Arial" w:hAnsi="Arial" w:cs="Arial"/>
                <w:sz w:val="22"/>
                <w:szCs w:val="22"/>
              </w:rPr>
              <w:t>20</w:t>
            </w:r>
          </w:p>
        </w:tc>
        <w:tc>
          <w:tcPr>
            <w:tcW w:w="2268" w:type="dxa"/>
          </w:tcPr>
          <w:p w14:paraId="5C0EE245" w14:textId="1D089F2D" w:rsidR="0003330A" w:rsidRPr="00620914" w:rsidRDefault="0003330A" w:rsidP="00EA260E">
            <w:pPr>
              <w:jc w:val="center"/>
              <w:rPr>
                <w:rFonts w:ascii="Arial" w:hAnsi="Arial" w:cs="Arial"/>
                <w:sz w:val="22"/>
                <w:szCs w:val="22"/>
              </w:rPr>
            </w:pPr>
            <w:r w:rsidRPr="00620914">
              <w:rPr>
                <w:rFonts w:ascii="Arial" w:hAnsi="Arial" w:cs="Arial"/>
                <w:sz w:val="22"/>
                <w:szCs w:val="22"/>
              </w:rPr>
              <w:t>25</w:t>
            </w:r>
          </w:p>
        </w:tc>
        <w:tc>
          <w:tcPr>
            <w:tcW w:w="2268" w:type="dxa"/>
          </w:tcPr>
          <w:p w14:paraId="420B4A75" w14:textId="228B61E4" w:rsidR="0003330A" w:rsidRPr="00620914" w:rsidRDefault="0003330A" w:rsidP="00EA260E">
            <w:pPr>
              <w:jc w:val="center"/>
              <w:rPr>
                <w:rFonts w:ascii="Arial" w:hAnsi="Arial" w:cs="Arial"/>
                <w:sz w:val="22"/>
                <w:szCs w:val="22"/>
              </w:rPr>
            </w:pPr>
            <w:r w:rsidRPr="00620914">
              <w:rPr>
                <w:rFonts w:ascii="Arial" w:hAnsi="Arial" w:cs="Arial"/>
                <w:sz w:val="22"/>
                <w:szCs w:val="22"/>
              </w:rPr>
              <w:t>35</w:t>
            </w:r>
          </w:p>
        </w:tc>
      </w:tr>
      <w:tr w:rsidR="00C823E0" w:rsidRPr="00620914" w14:paraId="33D837EC" w14:textId="77777777" w:rsidTr="00017F2C">
        <w:trPr>
          <w:trHeight w:val="348"/>
        </w:trPr>
        <w:tc>
          <w:tcPr>
            <w:tcW w:w="2268" w:type="dxa"/>
          </w:tcPr>
          <w:p w14:paraId="5C7129AF" w14:textId="7F530E03" w:rsidR="0003330A" w:rsidRPr="00620914" w:rsidRDefault="0003330A">
            <w:pPr>
              <w:rPr>
                <w:rFonts w:ascii="Arial" w:hAnsi="Arial" w:cs="Arial"/>
                <w:sz w:val="22"/>
                <w:szCs w:val="22"/>
              </w:rPr>
            </w:pPr>
            <w:r w:rsidRPr="00620914">
              <w:rPr>
                <w:rFonts w:ascii="Arial" w:hAnsi="Arial" w:cs="Arial"/>
                <w:sz w:val="22"/>
                <w:szCs w:val="22"/>
              </w:rPr>
              <w:t>At least 90% houses, two or more builders</w:t>
            </w:r>
          </w:p>
        </w:tc>
        <w:tc>
          <w:tcPr>
            <w:tcW w:w="2268" w:type="dxa"/>
          </w:tcPr>
          <w:p w14:paraId="7C5910E9" w14:textId="50DCDB4D" w:rsidR="0003330A" w:rsidRPr="00620914" w:rsidRDefault="0003330A" w:rsidP="00EA260E">
            <w:pPr>
              <w:jc w:val="center"/>
              <w:rPr>
                <w:rFonts w:ascii="Arial" w:hAnsi="Arial" w:cs="Arial"/>
                <w:sz w:val="22"/>
                <w:szCs w:val="22"/>
              </w:rPr>
            </w:pPr>
            <w:r w:rsidRPr="00620914">
              <w:rPr>
                <w:rFonts w:ascii="Arial" w:hAnsi="Arial" w:cs="Arial"/>
                <w:sz w:val="22"/>
                <w:szCs w:val="22"/>
              </w:rPr>
              <w:t>35</w:t>
            </w:r>
          </w:p>
        </w:tc>
        <w:tc>
          <w:tcPr>
            <w:tcW w:w="2268" w:type="dxa"/>
          </w:tcPr>
          <w:p w14:paraId="7FEAC1E3" w14:textId="0382F3B6" w:rsidR="0003330A" w:rsidRPr="00620914" w:rsidRDefault="0003330A" w:rsidP="00EA260E">
            <w:pPr>
              <w:jc w:val="center"/>
              <w:rPr>
                <w:rFonts w:ascii="Arial" w:hAnsi="Arial" w:cs="Arial"/>
                <w:sz w:val="22"/>
                <w:szCs w:val="22"/>
              </w:rPr>
            </w:pPr>
            <w:r w:rsidRPr="00620914">
              <w:rPr>
                <w:rFonts w:ascii="Arial" w:hAnsi="Arial" w:cs="Arial"/>
                <w:sz w:val="22"/>
                <w:szCs w:val="22"/>
              </w:rPr>
              <w:t>50</w:t>
            </w:r>
          </w:p>
        </w:tc>
        <w:tc>
          <w:tcPr>
            <w:tcW w:w="2268" w:type="dxa"/>
          </w:tcPr>
          <w:p w14:paraId="6C1D1C6B" w14:textId="2280C848" w:rsidR="0003330A" w:rsidRPr="00620914" w:rsidRDefault="0003330A" w:rsidP="00EA260E">
            <w:pPr>
              <w:jc w:val="center"/>
              <w:rPr>
                <w:rFonts w:ascii="Arial" w:hAnsi="Arial" w:cs="Arial"/>
                <w:sz w:val="22"/>
                <w:szCs w:val="22"/>
              </w:rPr>
            </w:pPr>
            <w:r w:rsidRPr="00620914">
              <w:rPr>
                <w:rFonts w:ascii="Arial" w:hAnsi="Arial" w:cs="Arial"/>
                <w:sz w:val="22"/>
                <w:szCs w:val="22"/>
              </w:rPr>
              <w:t>70</w:t>
            </w:r>
          </w:p>
        </w:tc>
      </w:tr>
      <w:tr w:rsidR="00C823E0" w:rsidRPr="00620914" w14:paraId="4F37DFCB" w14:textId="77777777" w:rsidTr="00017F2C">
        <w:trPr>
          <w:trHeight w:val="541"/>
        </w:trPr>
        <w:tc>
          <w:tcPr>
            <w:tcW w:w="2268" w:type="dxa"/>
          </w:tcPr>
          <w:p w14:paraId="08E626BD" w14:textId="469D6A37" w:rsidR="0003330A" w:rsidRPr="00620914" w:rsidRDefault="00CF5E27">
            <w:pPr>
              <w:rPr>
                <w:rFonts w:ascii="Arial" w:hAnsi="Arial" w:cs="Arial"/>
                <w:sz w:val="22"/>
                <w:szCs w:val="22"/>
              </w:rPr>
            </w:pPr>
            <w:r w:rsidRPr="00620914">
              <w:rPr>
                <w:rFonts w:ascii="Arial" w:hAnsi="Arial" w:cs="Arial"/>
                <w:sz w:val="22"/>
                <w:szCs w:val="22"/>
              </w:rPr>
              <w:t>Houses and more than 10% flats, single builder</w:t>
            </w:r>
          </w:p>
        </w:tc>
        <w:tc>
          <w:tcPr>
            <w:tcW w:w="2268" w:type="dxa"/>
          </w:tcPr>
          <w:p w14:paraId="0068D783" w14:textId="12B0B74B" w:rsidR="0003330A" w:rsidRPr="00620914" w:rsidRDefault="00CF5E27" w:rsidP="00EA260E">
            <w:pPr>
              <w:jc w:val="center"/>
              <w:rPr>
                <w:rFonts w:ascii="Arial" w:hAnsi="Arial" w:cs="Arial"/>
                <w:sz w:val="22"/>
                <w:szCs w:val="22"/>
              </w:rPr>
            </w:pPr>
            <w:r w:rsidRPr="00620914">
              <w:rPr>
                <w:rFonts w:ascii="Arial" w:hAnsi="Arial" w:cs="Arial"/>
                <w:sz w:val="22"/>
                <w:szCs w:val="22"/>
              </w:rPr>
              <w:t>20</w:t>
            </w:r>
          </w:p>
        </w:tc>
        <w:tc>
          <w:tcPr>
            <w:tcW w:w="2268" w:type="dxa"/>
          </w:tcPr>
          <w:p w14:paraId="51206E91" w14:textId="2E525E80" w:rsidR="0003330A" w:rsidRPr="00620914" w:rsidRDefault="00CF5E27" w:rsidP="00EA260E">
            <w:pPr>
              <w:jc w:val="center"/>
              <w:rPr>
                <w:rFonts w:ascii="Arial" w:hAnsi="Arial" w:cs="Arial"/>
                <w:sz w:val="22"/>
                <w:szCs w:val="22"/>
              </w:rPr>
            </w:pPr>
            <w:r w:rsidRPr="00620914">
              <w:rPr>
                <w:rFonts w:ascii="Arial" w:hAnsi="Arial" w:cs="Arial"/>
                <w:sz w:val="22"/>
                <w:szCs w:val="22"/>
              </w:rPr>
              <w:t>25</w:t>
            </w:r>
          </w:p>
        </w:tc>
        <w:tc>
          <w:tcPr>
            <w:tcW w:w="2268" w:type="dxa"/>
          </w:tcPr>
          <w:p w14:paraId="643E906F" w14:textId="04527010" w:rsidR="0003330A" w:rsidRPr="00620914" w:rsidRDefault="00CF5E27" w:rsidP="00EA260E">
            <w:pPr>
              <w:jc w:val="center"/>
              <w:rPr>
                <w:rFonts w:ascii="Arial" w:hAnsi="Arial" w:cs="Arial"/>
                <w:sz w:val="22"/>
                <w:szCs w:val="22"/>
              </w:rPr>
            </w:pPr>
            <w:r w:rsidRPr="00620914">
              <w:rPr>
                <w:rFonts w:ascii="Arial" w:hAnsi="Arial" w:cs="Arial"/>
                <w:sz w:val="22"/>
                <w:szCs w:val="22"/>
              </w:rPr>
              <w:t>50</w:t>
            </w:r>
          </w:p>
        </w:tc>
      </w:tr>
      <w:tr w:rsidR="00C823E0" w:rsidRPr="00620914" w14:paraId="35274960" w14:textId="77777777" w:rsidTr="00017F2C">
        <w:trPr>
          <w:trHeight w:val="314"/>
        </w:trPr>
        <w:tc>
          <w:tcPr>
            <w:tcW w:w="2268" w:type="dxa"/>
          </w:tcPr>
          <w:p w14:paraId="2D91570C" w14:textId="58EC82AA" w:rsidR="0003330A" w:rsidRPr="00620914" w:rsidRDefault="00CF5E27">
            <w:pPr>
              <w:rPr>
                <w:rFonts w:ascii="Arial" w:hAnsi="Arial" w:cs="Arial"/>
                <w:sz w:val="22"/>
                <w:szCs w:val="22"/>
              </w:rPr>
            </w:pPr>
            <w:r w:rsidRPr="00620914">
              <w:rPr>
                <w:rFonts w:ascii="Arial" w:hAnsi="Arial" w:cs="Arial"/>
                <w:sz w:val="22"/>
                <w:szCs w:val="22"/>
              </w:rPr>
              <w:t>Houses and more than 10% flats, two or more builders</w:t>
            </w:r>
          </w:p>
        </w:tc>
        <w:tc>
          <w:tcPr>
            <w:tcW w:w="2268" w:type="dxa"/>
          </w:tcPr>
          <w:p w14:paraId="3BC53B34" w14:textId="7C248B0A" w:rsidR="0003330A" w:rsidRPr="00620914" w:rsidRDefault="00CF5E27" w:rsidP="00EA260E">
            <w:pPr>
              <w:jc w:val="center"/>
              <w:rPr>
                <w:rFonts w:ascii="Arial" w:hAnsi="Arial" w:cs="Arial"/>
                <w:sz w:val="22"/>
                <w:szCs w:val="22"/>
              </w:rPr>
            </w:pPr>
            <w:r w:rsidRPr="00620914">
              <w:rPr>
                <w:rFonts w:ascii="Arial" w:hAnsi="Arial" w:cs="Arial"/>
                <w:sz w:val="22"/>
                <w:szCs w:val="22"/>
              </w:rPr>
              <w:t>35</w:t>
            </w:r>
          </w:p>
        </w:tc>
        <w:tc>
          <w:tcPr>
            <w:tcW w:w="2268" w:type="dxa"/>
          </w:tcPr>
          <w:p w14:paraId="187D1D8C" w14:textId="3B9E8BE4" w:rsidR="0003330A" w:rsidRPr="00620914" w:rsidRDefault="00CF5E27" w:rsidP="00EA260E">
            <w:pPr>
              <w:jc w:val="center"/>
              <w:rPr>
                <w:rFonts w:ascii="Arial" w:hAnsi="Arial" w:cs="Arial"/>
                <w:sz w:val="22"/>
                <w:szCs w:val="22"/>
              </w:rPr>
            </w:pPr>
            <w:r w:rsidRPr="00620914">
              <w:rPr>
                <w:rFonts w:ascii="Arial" w:hAnsi="Arial" w:cs="Arial"/>
                <w:sz w:val="22"/>
                <w:szCs w:val="22"/>
              </w:rPr>
              <w:t>50</w:t>
            </w:r>
          </w:p>
        </w:tc>
        <w:tc>
          <w:tcPr>
            <w:tcW w:w="2268" w:type="dxa"/>
          </w:tcPr>
          <w:p w14:paraId="12E34DAB" w14:textId="606EFD75" w:rsidR="0003330A" w:rsidRPr="00620914" w:rsidRDefault="00CF5E27" w:rsidP="00EA260E">
            <w:pPr>
              <w:jc w:val="center"/>
              <w:rPr>
                <w:rFonts w:ascii="Arial" w:hAnsi="Arial" w:cs="Arial"/>
                <w:sz w:val="22"/>
                <w:szCs w:val="22"/>
              </w:rPr>
            </w:pPr>
            <w:r w:rsidRPr="00620914">
              <w:rPr>
                <w:rFonts w:ascii="Arial" w:hAnsi="Arial" w:cs="Arial"/>
                <w:sz w:val="22"/>
                <w:szCs w:val="22"/>
              </w:rPr>
              <w:t>100</w:t>
            </w:r>
          </w:p>
        </w:tc>
      </w:tr>
      <w:tr w:rsidR="00844824" w:rsidRPr="00620914" w14:paraId="2ECEFDAC" w14:textId="77777777" w:rsidTr="00017F2C">
        <w:tc>
          <w:tcPr>
            <w:tcW w:w="2268" w:type="dxa"/>
          </w:tcPr>
          <w:p w14:paraId="3F36C0D1" w14:textId="597829B0" w:rsidR="00CF5E27" w:rsidRPr="00620914" w:rsidRDefault="00CF5E27">
            <w:pPr>
              <w:rPr>
                <w:rFonts w:ascii="Arial" w:hAnsi="Arial" w:cs="Arial"/>
                <w:sz w:val="22"/>
                <w:szCs w:val="22"/>
              </w:rPr>
            </w:pPr>
            <w:r w:rsidRPr="00620914">
              <w:rPr>
                <w:rFonts w:ascii="Arial" w:hAnsi="Arial" w:cs="Arial"/>
                <w:sz w:val="22"/>
                <w:szCs w:val="22"/>
              </w:rPr>
              <w:t>Apartment schemes</w:t>
            </w:r>
          </w:p>
        </w:tc>
        <w:tc>
          <w:tcPr>
            <w:tcW w:w="6804" w:type="dxa"/>
            <w:gridSpan w:val="3"/>
          </w:tcPr>
          <w:p w14:paraId="6FD739BD" w14:textId="1B356E25" w:rsidR="00CF5E27" w:rsidRPr="00620914" w:rsidRDefault="00CF5E27">
            <w:pPr>
              <w:rPr>
                <w:rFonts w:ascii="Arial" w:hAnsi="Arial" w:cs="Arial"/>
                <w:sz w:val="22"/>
                <w:szCs w:val="22"/>
              </w:rPr>
            </w:pPr>
            <w:r w:rsidRPr="00620914">
              <w:rPr>
                <w:rFonts w:ascii="Arial" w:hAnsi="Arial" w:cs="Arial"/>
                <w:sz w:val="22"/>
                <w:szCs w:val="22"/>
              </w:rPr>
              <w:t>Whole blocks usually assumed to be completed in a single year</w:t>
            </w:r>
          </w:p>
        </w:tc>
      </w:tr>
    </w:tbl>
    <w:p w14:paraId="55F90F2A" w14:textId="77777777" w:rsidR="00841464" w:rsidRDefault="00841464" w:rsidP="00CF5E27">
      <w:pPr>
        <w:rPr>
          <w:rFonts w:ascii="Aptos" w:hAnsi="Aptos"/>
          <w:b/>
          <w:bCs/>
          <w:sz w:val="22"/>
          <w:szCs w:val="22"/>
        </w:rPr>
      </w:pPr>
    </w:p>
    <w:p w14:paraId="3D644AAF" w14:textId="4EC7A881" w:rsidR="00CA42DB" w:rsidRPr="00A371FA" w:rsidRDefault="00CA42DB" w:rsidP="00CF5E27">
      <w:pPr>
        <w:rPr>
          <w:rFonts w:ascii="Arial" w:hAnsi="Arial" w:cs="Arial"/>
          <w:sz w:val="24"/>
          <w:szCs w:val="24"/>
          <w:u w:val="single"/>
        </w:rPr>
      </w:pPr>
      <w:r w:rsidRPr="00A371FA">
        <w:rPr>
          <w:rFonts w:ascii="Arial" w:hAnsi="Arial" w:cs="Arial"/>
          <w:sz w:val="24"/>
          <w:szCs w:val="24"/>
          <w:u w:val="single"/>
        </w:rPr>
        <w:t xml:space="preserve">Estimated losses </w:t>
      </w:r>
    </w:p>
    <w:p w14:paraId="650464F7" w14:textId="094F5CAA" w:rsidR="00CF5E27" w:rsidRPr="00A56139" w:rsidRDefault="00CA42DB" w:rsidP="00CF5E27">
      <w:pPr>
        <w:rPr>
          <w:rFonts w:ascii="Arial" w:hAnsi="Arial" w:cs="Arial"/>
          <w:sz w:val="24"/>
          <w:szCs w:val="24"/>
        </w:rPr>
      </w:pPr>
      <w:r w:rsidRPr="00A56139">
        <w:rPr>
          <w:rFonts w:ascii="Arial" w:hAnsi="Arial" w:cs="Arial"/>
          <w:sz w:val="24"/>
          <w:szCs w:val="24"/>
        </w:rPr>
        <w:t>3.</w:t>
      </w:r>
      <w:r w:rsidR="00841464" w:rsidRPr="00A56139">
        <w:rPr>
          <w:rFonts w:ascii="Arial" w:hAnsi="Arial" w:cs="Arial"/>
          <w:sz w:val="24"/>
          <w:szCs w:val="24"/>
        </w:rPr>
        <w:t>19</w:t>
      </w:r>
      <w:r w:rsidRPr="00A56139">
        <w:rPr>
          <w:rFonts w:ascii="Arial" w:hAnsi="Arial" w:cs="Arial"/>
          <w:sz w:val="24"/>
          <w:szCs w:val="24"/>
        </w:rPr>
        <w:t xml:space="preserve"> Currently there are very few losses of dwellings.  Annual losses have tailed off considerably since the ending of the Housing Market Renewal Programme.  Losses through demolition and conversions will continue to be monitored annually.</w:t>
      </w:r>
    </w:p>
    <w:p w14:paraId="1E458C61" w14:textId="6D272D77" w:rsidR="00841464" w:rsidRPr="00A371FA" w:rsidRDefault="00841464" w:rsidP="00CF5E27">
      <w:pPr>
        <w:rPr>
          <w:rFonts w:ascii="Arial" w:hAnsi="Arial" w:cs="Arial"/>
          <w:sz w:val="24"/>
          <w:szCs w:val="24"/>
          <w:u w:val="single"/>
        </w:rPr>
      </w:pPr>
      <w:r w:rsidRPr="00A371FA">
        <w:rPr>
          <w:rFonts w:ascii="Arial" w:hAnsi="Arial" w:cs="Arial"/>
          <w:sz w:val="24"/>
          <w:szCs w:val="24"/>
          <w:u w:val="single"/>
        </w:rPr>
        <w:t>Estimated completions</w:t>
      </w:r>
    </w:p>
    <w:p w14:paraId="0D068C69" w14:textId="6BCF4387" w:rsidR="00844824" w:rsidRDefault="00CA42DB" w:rsidP="00CF5E27">
      <w:pPr>
        <w:rPr>
          <w:rFonts w:ascii="Arial" w:hAnsi="Arial" w:cs="Arial"/>
          <w:sz w:val="24"/>
          <w:szCs w:val="24"/>
        </w:rPr>
      </w:pPr>
      <w:r w:rsidRPr="00A56139">
        <w:rPr>
          <w:rFonts w:ascii="Arial" w:hAnsi="Arial" w:cs="Arial"/>
          <w:sz w:val="24"/>
          <w:szCs w:val="24"/>
        </w:rPr>
        <w:t>3.</w:t>
      </w:r>
      <w:r w:rsidR="00841464" w:rsidRPr="00A56139">
        <w:rPr>
          <w:rFonts w:ascii="Arial" w:hAnsi="Arial" w:cs="Arial"/>
          <w:sz w:val="24"/>
          <w:szCs w:val="24"/>
        </w:rPr>
        <w:t>20</w:t>
      </w:r>
      <w:r w:rsidRPr="00A56139">
        <w:rPr>
          <w:rFonts w:ascii="Arial" w:hAnsi="Arial" w:cs="Arial"/>
          <w:sz w:val="24"/>
          <w:szCs w:val="24"/>
        </w:rPr>
        <w:t xml:space="preserve"> Table </w:t>
      </w:r>
      <w:r w:rsidR="00465E82" w:rsidRPr="00A56139">
        <w:rPr>
          <w:rFonts w:ascii="Arial" w:hAnsi="Arial" w:cs="Arial"/>
          <w:sz w:val="24"/>
          <w:szCs w:val="24"/>
        </w:rPr>
        <w:t>5</w:t>
      </w:r>
      <w:r w:rsidRPr="00A56139">
        <w:rPr>
          <w:rFonts w:ascii="Arial" w:hAnsi="Arial" w:cs="Arial"/>
          <w:sz w:val="24"/>
          <w:szCs w:val="24"/>
        </w:rPr>
        <w:t xml:space="preserve"> below lists the total capacity within the 5-year period for each category described above. Large sites with full planning permission are further broken down into sites that are under construction, and </w:t>
      </w:r>
      <w:r w:rsidR="00F95F57" w:rsidRPr="00A56139">
        <w:rPr>
          <w:rFonts w:ascii="Arial" w:hAnsi="Arial" w:cs="Arial"/>
          <w:sz w:val="24"/>
          <w:szCs w:val="24"/>
        </w:rPr>
        <w:t xml:space="preserve">those </w:t>
      </w:r>
      <w:r w:rsidRPr="00A56139">
        <w:rPr>
          <w:rFonts w:ascii="Arial" w:hAnsi="Arial" w:cs="Arial"/>
          <w:sz w:val="24"/>
          <w:szCs w:val="24"/>
        </w:rPr>
        <w:t>not started.</w:t>
      </w:r>
    </w:p>
    <w:p w14:paraId="6CFCC60F" w14:textId="38472436" w:rsidR="00A56139" w:rsidRDefault="00A56139">
      <w:pPr>
        <w:rPr>
          <w:rFonts w:ascii="Arial" w:hAnsi="Arial" w:cs="Arial"/>
          <w:sz w:val="24"/>
          <w:szCs w:val="24"/>
        </w:rPr>
      </w:pPr>
      <w:r>
        <w:rPr>
          <w:rFonts w:ascii="Arial" w:hAnsi="Arial" w:cs="Arial"/>
          <w:sz w:val="24"/>
          <w:szCs w:val="24"/>
        </w:rPr>
        <w:br w:type="page"/>
      </w:r>
    </w:p>
    <w:p w14:paraId="1C4501B6" w14:textId="77777777" w:rsidR="00A56139" w:rsidRPr="00A56139" w:rsidRDefault="00A56139" w:rsidP="00CF5E27">
      <w:pPr>
        <w:rPr>
          <w:rFonts w:ascii="Arial" w:hAnsi="Arial" w:cs="Arial"/>
          <w:sz w:val="24"/>
          <w:szCs w:val="24"/>
        </w:rPr>
      </w:pPr>
    </w:p>
    <w:tbl>
      <w:tblPr>
        <w:tblW w:w="9072" w:type="dxa"/>
        <w:tblCellMar>
          <w:top w:w="57" w:type="dxa"/>
          <w:bottom w:w="57" w:type="dxa"/>
          <w:right w:w="284" w:type="dxa"/>
        </w:tblCellMar>
        <w:tblLook w:val="04A0" w:firstRow="1" w:lastRow="0" w:firstColumn="1" w:lastColumn="0" w:noHBand="0" w:noVBand="1"/>
      </w:tblPr>
      <w:tblGrid>
        <w:gridCol w:w="6477"/>
        <w:gridCol w:w="2595"/>
      </w:tblGrid>
      <w:tr w:rsidR="00C823E0" w:rsidRPr="00620914" w14:paraId="185FA2DB" w14:textId="77777777" w:rsidTr="006930DB">
        <w:trPr>
          <w:cantSplit/>
          <w:trHeight w:val="122"/>
        </w:trPr>
        <w:tc>
          <w:tcPr>
            <w:tcW w:w="8921"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07B07AB2" w14:textId="23F5A696" w:rsidR="00942519" w:rsidRPr="00620914" w:rsidRDefault="00942519" w:rsidP="00942519">
            <w:pPr>
              <w:spacing w:after="0" w:line="240" w:lineRule="auto"/>
              <w:rPr>
                <w:rFonts w:ascii="Arial" w:eastAsia="Times New Roman" w:hAnsi="Arial" w:cs="Arial"/>
                <w:b/>
                <w:bCs/>
                <w:sz w:val="22"/>
                <w:szCs w:val="22"/>
                <w:lang w:eastAsia="en-GB"/>
              </w:rPr>
            </w:pPr>
            <w:r w:rsidRPr="00620914">
              <w:rPr>
                <w:rFonts w:ascii="Arial" w:hAnsi="Arial" w:cs="Arial"/>
                <w:b/>
                <w:bCs/>
                <w:sz w:val="22"/>
                <w:szCs w:val="22"/>
              </w:rPr>
              <w:t>Table 5: Estimated completions by category</w:t>
            </w:r>
          </w:p>
        </w:tc>
      </w:tr>
      <w:tr w:rsidR="00C823E0" w:rsidRPr="00620914" w14:paraId="6DE94702" w14:textId="77777777" w:rsidTr="006930DB">
        <w:trPr>
          <w:cantSplit/>
          <w:trHeight w:val="214"/>
        </w:trPr>
        <w:tc>
          <w:tcPr>
            <w:tcW w:w="63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9CD265" w14:textId="36DFFB18" w:rsidR="00B13E9F" w:rsidRPr="00620914" w:rsidRDefault="00B13E9F" w:rsidP="00B13E9F">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Category</w:t>
            </w:r>
          </w:p>
        </w:tc>
        <w:tc>
          <w:tcPr>
            <w:tcW w:w="2552" w:type="dxa"/>
            <w:tcBorders>
              <w:top w:val="single" w:sz="8" w:space="0" w:color="auto"/>
              <w:left w:val="nil"/>
              <w:bottom w:val="single" w:sz="8" w:space="0" w:color="auto"/>
              <w:right w:val="single" w:sz="8" w:space="0" w:color="auto"/>
            </w:tcBorders>
            <w:shd w:val="clear" w:color="auto" w:fill="auto"/>
            <w:noWrap/>
            <w:vAlign w:val="bottom"/>
            <w:hideMark/>
          </w:tcPr>
          <w:p w14:paraId="1C40682D" w14:textId="654AC4CA" w:rsidR="00B13E9F" w:rsidRPr="00620914" w:rsidRDefault="00B13E9F"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5</w:t>
            </w:r>
            <w:r w:rsidR="006F320F" w:rsidRPr="00620914">
              <w:rPr>
                <w:rFonts w:ascii="Arial" w:eastAsia="Times New Roman" w:hAnsi="Arial" w:cs="Arial"/>
                <w:b/>
                <w:bCs/>
                <w:sz w:val="22"/>
                <w:szCs w:val="22"/>
                <w:lang w:eastAsia="en-GB"/>
              </w:rPr>
              <w:t>-</w:t>
            </w:r>
            <w:r w:rsidR="009761E9" w:rsidRPr="00620914">
              <w:rPr>
                <w:rFonts w:ascii="Arial" w:eastAsia="Times New Roman" w:hAnsi="Arial" w:cs="Arial"/>
                <w:b/>
                <w:bCs/>
                <w:sz w:val="22"/>
                <w:szCs w:val="22"/>
                <w:lang w:eastAsia="en-GB"/>
              </w:rPr>
              <w:t>y</w:t>
            </w:r>
            <w:r w:rsidRPr="00620914">
              <w:rPr>
                <w:rFonts w:ascii="Arial" w:eastAsia="Times New Roman" w:hAnsi="Arial" w:cs="Arial"/>
                <w:b/>
                <w:bCs/>
                <w:sz w:val="22"/>
                <w:szCs w:val="22"/>
                <w:lang w:eastAsia="en-GB"/>
              </w:rPr>
              <w:t xml:space="preserve">ear </w:t>
            </w:r>
            <w:r w:rsidR="009761E9"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upply</w:t>
            </w:r>
          </w:p>
        </w:tc>
      </w:tr>
      <w:tr w:rsidR="00C823E0" w:rsidRPr="00620914" w14:paraId="024E1827" w14:textId="77777777" w:rsidTr="006930DB">
        <w:trPr>
          <w:trHeight w:val="25"/>
        </w:trPr>
        <w:tc>
          <w:tcPr>
            <w:tcW w:w="636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9560E91" w14:textId="5A25EE85" w:rsidR="00B13E9F" w:rsidRPr="00620914" w:rsidRDefault="00B13E9F" w:rsidP="00B13E9F">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Large </w:t>
            </w:r>
            <w:r w:rsidR="009761E9"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 xml:space="preserve">ites </w:t>
            </w:r>
            <w:r w:rsidR="009761E9" w:rsidRPr="00620914">
              <w:rPr>
                <w:rFonts w:ascii="Arial" w:eastAsia="Times New Roman" w:hAnsi="Arial" w:cs="Arial"/>
                <w:sz w:val="22"/>
                <w:szCs w:val="22"/>
                <w:lang w:eastAsia="en-GB"/>
              </w:rPr>
              <w:t>u</w:t>
            </w:r>
            <w:r w:rsidRPr="00620914">
              <w:rPr>
                <w:rFonts w:ascii="Arial" w:eastAsia="Times New Roman" w:hAnsi="Arial" w:cs="Arial"/>
                <w:sz w:val="22"/>
                <w:szCs w:val="22"/>
                <w:lang w:eastAsia="en-GB"/>
              </w:rPr>
              <w:t xml:space="preserve">nder </w:t>
            </w:r>
            <w:r w:rsidR="009761E9" w:rsidRPr="00620914">
              <w:rPr>
                <w:rFonts w:ascii="Arial" w:eastAsia="Times New Roman" w:hAnsi="Arial" w:cs="Arial"/>
                <w:sz w:val="22"/>
                <w:szCs w:val="22"/>
                <w:lang w:eastAsia="en-GB"/>
              </w:rPr>
              <w:t>c</w:t>
            </w:r>
            <w:r w:rsidRPr="00620914">
              <w:rPr>
                <w:rFonts w:ascii="Arial" w:eastAsia="Times New Roman" w:hAnsi="Arial" w:cs="Arial"/>
                <w:sz w:val="22"/>
                <w:szCs w:val="22"/>
                <w:lang w:eastAsia="en-GB"/>
              </w:rPr>
              <w:t>onstruction</w:t>
            </w:r>
          </w:p>
        </w:tc>
        <w:tc>
          <w:tcPr>
            <w:tcW w:w="2552" w:type="dxa"/>
            <w:tcBorders>
              <w:top w:val="single" w:sz="4" w:space="0" w:color="auto"/>
              <w:left w:val="nil"/>
              <w:bottom w:val="single" w:sz="4" w:space="0" w:color="auto"/>
              <w:right w:val="single" w:sz="8" w:space="0" w:color="auto"/>
            </w:tcBorders>
            <w:shd w:val="clear" w:color="auto" w:fill="auto"/>
            <w:noWrap/>
            <w:vAlign w:val="bottom"/>
            <w:hideMark/>
          </w:tcPr>
          <w:p w14:paraId="65798772" w14:textId="160C8849" w:rsidR="00B13E9F" w:rsidRPr="00620914" w:rsidRDefault="00B13E9F"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w:t>
            </w:r>
            <w:r w:rsidR="00017F2C" w:rsidRPr="00620914">
              <w:rPr>
                <w:rFonts w:ascii="Arial" w:eastAsia="Times New Roman" w:hAnsi="Arial" w:cs="Arial"/>
                <w:sz w:val="22"/>
                <w:szCs w:val="22"/>
                <w:lang w:eastAsia="en-GB"/>
              </w:rPr>
              <w:t>,</w:t>
            </w:r>
            <w:r w:rsidRPr="00620914">
              <w:rPr>
                <w:rFonts w:ascii="Arial" w:eastAsia="Times New Roman" w:hAnsi="Arial" w:cs="Arial"/>
                <w:sz w:val="22"/>
                <w:szCs w:val="22"/>
                <w:lang w:eastAsia="en-GB"/>
              </w:rPr>
              <w:t>728</w:t>
            </w:r>
          </w:p>
        </w:tc>
      </w:tr>
      <w:tr w:rsidR="00C823E0" w:rsidRPr="00620914" w14:paraId="40B9FEC4" w14:textId="77777777" w:rsidTr="006930DB">
        <w:trPr>
          <w:trHeight w:val="23"/>
        </w:trPr>
        <w:tc>
          <w:tcPr>
            <w:tcW w:w="6369" w:type="dxa"/>
            <w:tcBorders>
              <w:top w:val="nil"/>
              <w:left w:val="single" w:sz="8" w:space="0" w:color="auto"/>
              <w:bottom w:val="single" w:sz="4" w:space="0" w:color="auto"/>
              <w:right w:val="single" w:sz="8" w:space="0" w:color="auto"/>
            </w:tcBorders>
            <w:shd w:val="clear" w:color="auto" w:fill="auto"/>
            <w:noWrap/>
            <w:vAlign w:val="bottom"/>
            <w:hideMark/>
          </w:tcPr>
          <w:p w14:paraId="09014DB0" w14:textId="6B885E8A" w:rsidR="00B13E9F" w:rsidRPr="00620914" w:rsidRDefault="00B13E9F" w:rsidP="00B13E9F">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Large </w:t>
            </w:r>
            <w:r w:rsidR="009761E9"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 xml:space="preserve">ites with </w:t>
            </w:r>
            <w:r w:rsidR="009761E9" w:rsidRPr="00620914">
              <w:rPr>
                <w:rFonts w:ascii="Arial" w:eastAsia="Times New Roman" w:hAnsi="Arial" w:cs="Arial"/>
                <w:sz w:val="22"/>
                <w:szCs w:val="22"/>
                <w:lang w:eastAsia="en-GB"/>
              </w:rPr>
              <w:t>f</w:t>
            </w:r>
            <w:r w:rsidRPr="00620914">
              <w:rPr>
                <w:rFonts w:ascii="Arial" w:eastAsia="Times New Roman" w:hAnsi="Arial" w:cs="Arial"/>
                <w:sz w:val="22"/>
                <w:szCs w:val="22"/>
                <w:lang w:eastAsia="en-GB"/>
              </w:rPr>
              <w:t xml:space="preserve">ull </w:t>
            </w:r>
            <w:r w:rsidR="009761E9" w:rsidRPr="00620914">
              <w:rPr>
                <w:rFonts w:ascii="Arial" w:eastAsia="Times New Roman" w:hAnsi="Arial" w:cs="Arial"/>
                <w:sz w:val="22"/>
                <w:szCs w:val="22"/>
                <w:lang w:eastAsia="en-GB"/>
              </w:rPr>
              <w:t>p</w:t>
            </w:r>
            <w:r w:rsidRPr="00620914">
              <w:rPr>
                <w:rFonts w:ascii="Arial" w:eastAsia="Times New Roman" w:hAnsi="Arial" w:cs="Arial"/>
                <w:sz w:val="22"/>
                <w:szCs w:val="22"/>
                <w:lang w:eastAsia="en-GB"/>
              </w:rPr>
              <w:t xml:space="preserve">lanning </w:t>
            </w:r>
            <w:r w:rsidR="009761E9" w:rsidRPr="00620914">
              <w:rPr>
                <w:rFonts w:ascii="Arial" w:eastAsia="Times New Roman" w:hAnsi="Arial" w:cs="Arial"/>
                <w:sz w:val="22"/>
                <w:szCs w:val="22"/>
                <w:lang w:eastAsia="en-GB"/>
              </w:rPr>
              <w:t>p</w:t>
            </w:r>
            <w:r w:rsidRPr="00620914">
              <w:rPr>
                <w:rFonts w:ascii="Arial" w:eastAsia="Times New Roman" w:hAnsi="Arial" w:cs="Arial"/>
                <w:sz w:val="22"/>
                <w:szCs w:val="22"/>
                <w:lang w:eastAsia="en-GB"/>
              </w:rPr>
              <w:t xml:space="preserve">ermission </w:t>
            </w:r>
            <w:r w:rsidR="009761E9" w:rsidRPr="00620914">
              <w:rPr>
                <w:rFonts w:ascii="Arial" w:eastAsia="Times New Roman" w:hAnsi="Arial" w:cs="Arial"/>
                <w:sz w:val="22"/>
                <w:szCs w:val="22"/>
                <w:lang w:eastAsia="en-GB"/>
              </w:rPr>
              <w:t>n</w:t>
            </w:r>
            <w:r w:rsidRPr="00620914">
              <w:rPr>
                <w:rFonts w:ascii="Arial" w:eastAsia="Times New Roman" w:hAnsi="Arial" w:cs="Arial"/>
                <w:sz w:val="22"/>
                <w:szCs w:val="22"/>
                <w:lang w:eastAsia="en-GB"/>
              </w:rPr>
              <w:t xml:space="preserve">ot </w:t>
            </w:r>
            <w:r w:rsidR="009761E9"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tarted</w:t>
            </w:r>
          </w:p>
        </w:tc>
        <w:tc>
          <w:tcPr>
            <w:tcW w:w="2552" w:type="dxa"/>
            <w:tcBorders>
              <w:top w:val="nil"/>
              <w:left w:val="nil"/>
              <w:bottom w:val="single" w:sz="4" w:space="0" w:color="auto"/>
              <w:right w:val="single" w:sz="8" w:space="0" w:color="auto"/>
            </w:tcBorders>
            <w:shd w:val="clear" w:color="auto" w:fill="auto"/>
            <w:noWrap/>
            <w:vAlign w:val="bottom"/>
            <w:hideMark/>
          </w:tcPr>
          <w:p w14:paraId="120E114A" w14:textId="77777777" w:rsidR="00B13E9F" w:rsidRPr="00620914" w:rsidRDefault="00B13E9F"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93</w:t>
            </w:r>
          </w:p>
        </w:tc>
      </w:tr>
      <w:tr w:rsidR="00C823E0" w:rsidRPr="00620914" w14:paraId="5923042E" w14:textId="77777777" w:rsidTr="006930DB">
        <w:trPr>
          <w:trHeight w:val="23"/>
        </w:trPr>
        <w:tc>
          <w:tcPr>
            <w:tcW w:w="6369" w:type="dxa"/>
            <w:tcBorders>
              <w:top w:val="nil"/>
              <w:left w:val="single" w:sz="8" w:space="0" w:color="auto"/>
              <w:bottom w:val="single" w:sz="4" w:space="0" w:color="auto"/>
              <w:right w:val="single" w:sz="8" w:space="0" w:color="auto"/>
            </w:tcBorders>
            <w:shd w:val="clear" w:color="auto" w:fill="auto"/>
            <w:noWrap/>
            <w:vAlign w:val="bottom"/>
            <w:hideMark/>
          </w:tcPr>
          <w:p w14:paraId="4CD2C87F" w14:textId="023D9E52" w:rsidR="00B13E9F" w:rsidRPr="00620914" w:rsidRDefault="00B13E9F" w:rsidP="00B13E9F">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Large </w:t>
            </w:r>
            <w:r w:rsidR="009761E9"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 xml:space="preserve">ites </w:t>
            </w:r>
            <w:r w:rsidR="006F320F" w:rsidRPr="00620914">
              <w:rPr>
                <w:rFonts w:ascii="Arial" w:eastAsia="Times New Roman" w:hAnsi="Arial" w:cs="Arial"/>
                <w:sz w:val="22"/>
                <w:szCs w:val="22"/>
                <w:lang w:eastAsia="en-GB"/>
              </w:rPr>
              <w:t xml:space="preserve">with </w:t>
            </w:r>
            <w:r w:rsidR="009761E9" w:rsidRPr="00620914">
              <w:rPr>
                <w:rFonts w:ascii="Arial" w:eastAsia="Times New Roman" w:hAnsi="Arial" w:cs="Arial"/>
                <w:sz w:val="22"/>
                <w:szCs w:val="22"/>
                <w:lang w:eastAsia="en-GB"/>
              </w:rPr>
              <w:t>o</w:t>
            </w:r>
            <w:r w:rsidRPr="00620914">
              <w:rPr>
                <w:rFonts w:ascii="Arial" w:eastAsia="Times New Roman" w:hAnsi="Arial" w:cs="Arial"/>
                <w:sz w:val="22"/>
                <w:szCs w:val="22"/>
                <w:lang w:eastAsia="en-GB"/>
              </w:rPr>
              <w:t xml:space="preserve">utline </w:t>
            </w:r>
            <w:r w:rsidR="009761E9" w:rsidRPr="00620914">
              <w:rPr>
                <w:rFonts w:ascii="Arial" w:eastAsia="Times New Roman" w:hAnsi="Arial" w:cs="Arial"/>
                <w:sz w:val="22"/>
                <w:szCs w:val="22"/>
                <w:lang w:eastAsia="en-GB"/>
              </w:rPr>
              <w:t>planning p</w:t>
            </w:r>
            <w:r w:rsidRPr="00620914">
              <w:rPr>
                <w:rFonts w:ascii="Arial" w:eastAsia="Times New Roman" w:hAnsi="Arial" w:cs="Arial"/>
                <w:sz w:val="22"/>
                <w:szCs w:val="22"/>
                <w:lang w:eastAsia="en-GB"/>
              </w:rPr>
              <w:t>ermission</w:t>
            </w:r>
          </w:p>
        </w:tc>
        <w:tc>
          <w:tcPr>
            <w:tcW w:w="2552" w:type="dxa"/>
            <w:tcBorders>
              <w:top w:val="nil"/>
              <w:left w:val="nil"/>
              <w:bottom w:val="single" w:sz="4" w:space="0" w:color="auto"/>
              <w:right w:val="single" w:sz="8" w:space="0" w:color="auto"/>
            </w:tcBorders>
            <w:shd w:val="clear" w:color="auto" w:fill="auto"/>
            <w:noWrap/>
            <w:vAlign w:val="bottom"/>
            <w:hideMark/>
          </w:tcPr>
          <w:p w14:paraId="4D628F5F" w14:textId="77777777" w:rsidR="00B13E9F" w:rsidRPr="00620914" w:rsidRDefault="00B13E9F"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465</w:t>
            </w:r>
          </w:p>
        </w:tc>
      </w:tr>
      <w:tr w:rsidR="00C823E0" w:rsidRPr="00620914" w14:paraId="7CC71C5D" w14:textId="77777777" w:rsidTr="006930DB">
        <w:trPr>
          <w:trHeight w:val="23"/>
        </w:trPr>
        <w:tc>
          <w:tcPr>
            <w:tcW w:w="6369" w:type="dxa"/>
            <w:tcBorders>
              <w:top w:val="nil"/>
              <w:left w:val="single" w:sz="8" w:space="0" w:color="auto"/>
              <w:bottom w:val="single" w:sz="4" w:space="0" w:color="auto"/>
              <w:right w:val="single" w:sz="8" w:space="0" w:color="auto"/>
            </w:tcBorders>
            <w:shd w:val="clear" w:color="auto" w:fill="auto"/>
            <w:noWrap/>
            <w:vAlign w:val="bottom"/>
            <w:hideMark/>
          </w:tcPr>
          <w:p w14:paraId="2F643C4B" w14:textId="47D1B6DC" w:rsidR="00B13E9F" w:rsidRPr="00620914" w:rsidRDefault="009761E9" w:rsidP="00B13E9F">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Large sites allocated in the Local Plan</w:t>
            </w:r>
          </w:p>
        </w:tc>
        <w:tc>
          <w:tcPr>
            <w:tcW w:w="2552" w:type="dxa"/>
            <w:tcBorders>
              <w:top w:val="nil"/>
              <w:left w:val="nil"/>
              <w:bottom w:val="single" w:sz="4" w:space="0" w:color="auto"/>
              <w:right w:val="single" w:sz="8" w:space="0" w:color="auto"/>
            </w:tcBorders>
            <w:shd w:val="clear" w:color="auto" w:fill="auto"/>
            <w:noWrap/>
            <w:vAlign w:val="bottom"/>
            <w:hideMark/>
          </w:tcPr>
          <w:p w14:paraId="3369CC15" w14:textId="77777777" w:rsidR="00B13E9F" w:rsidRPr="00620914" w:rsidRDefault="00B13E9F"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939</w:t>
            </w:r>
          </w:p>
        </w:tc>
      </w:tr>
      <w:tr w:rsidR="009761E9" w:rsidRPr="00620914" w14:paraId="46DB66D3" w14:textId="77777777" w:rsidTr="006930DB">
        <w:trPr>
          <w:trHeight w:val="35"/>
        </w:trPr>
        <w:tc>
          <w:tcPr>
            <w:tcW w:w="6369" w:type="dxa"/>
            <w:tcBorders>
              <w:top w:val="nil"/>
              <w:left w:val="single" w:sz="8" w:space="0" w:color="auto"/>
              <w:bottom w:val="single" w:sz="4" w:space="0" w:color="auto"/>
              <w:right w:val="single" w:sz="8" w:space="0" w:color="auto"/>
            </w:tcBorders>
            <w:shd w:val="clear" w:color="auto" w:fill="auto"/>
            <w:noWrap/>
            <w:vAlign w:val="bottom"/>
            <w:hideMark/>
          </w:tcPr>
          <w:p w14:paraId="6348D201" w14:textId="21074E3D" w:rsidR="009761E9" w:rsidRPr="00620914" w:rsidRDefault="009761E9" w:rsidP="005F784F">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Small sites with </w:t>
            </w:r>
            <w:r w:rsidR="006930DB" w:rsidRPr="00620914">
              <w:rPr>
                <w:rFonts w:ascii="Arial" w:eastAsia="Times New Roman" w:hAnsi="Arial" w:cs="Arial"/>
                <w:sz w:val="22"/>
                <w:szCs w:val="22"/>
                <w:lang w:eastAsia="en-GB"/>
              </w:rPr>
              <w:t xml:space="preserve">planning </w:t>
            </w:r>
            <w:r w:rsidRPr="00620914">
              <w:rPr>
                <w:rFonts w:ascii="Arial" w:eastAsia="Times New Roman" w:hAnsi="Arial" w:cs="Arial"/>
                <w:sz w:val="22"/>
                <w:szCs w:val="22"/>
                <w:lang w:eastAsia="en-GB"/>
              </w:rPr>
              <w:t>permission</w:t>
            </w:r>
          </w:p>
        </w:tc>
        <w:tc>
          <w:tcPr>
            <w:tcW w:w="2552" w:type="dxa"/>
            <w:tcBorders>
              <w:top w:val="nil"/>
              <w:left w:val="nil"/>
              <w:bottom w:val="single" w:sz="4" w:space="0" w:color="auto"/>
              <w:right w:val="single" w:sz="8" w:space="0" w:color="auto"/>
            </w:tcBorders>
            <w:shd w:val="clear" w:color="auto" w:fill="auto"/>
            <w:noWrap/>
            <w:vAlign w:val="bottom"/>
            <w:hideMark/>
          </w:tcPr>
          <w:p w14:paraId="7BAD6A7E" w14:textId="77777777" w:rsidR="009761E9" w:rsidRPr="00620914" w:rsidRDefault="009761E9"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403</w:t>
            </w:r>
          </w:p>
        </w:tc>
      </w:tr>
      <w:tr w:rsidR="00C823E0" w:rsidRPr="00620914" w14:paraId="3F080732" w14:textId="77777777" w:rsidTr="006930DB">
        <w:trPr>
          <w:trHeight w:val="23"/>
        </w:trPr>
        <w:tc>
          <w:tcPr>
            <w:tcW w:w="6369" w:type="dxa"/>
            <w:tcBorders>
              <w:top w:val="nil"/>
              <w:left w:val="single" w:sz="8" w:space="0" w:color="auto"/>
              <w:bottom w:val="single" w:sz="4" w:space="0" w:color="auto"/>
              <w:right w:val="single" w:sz="8" w:space="0" w:color="auto"/>
            </w:tcBorders>
            <w:shd w:val="clear" w:color="auto" w:fill="auto"/>
            <w:noWrap/>
            <w:vAlign w:val="bottom"/>
            <w:hideMark/>
          </w:tcPr>
          <w:p w14:paraId="7D981AB6" w14:textId="44FC6663" w:rsidR="00B13E9F" w:rsidRPr="00620914" w:rsidRDefault="00B13E9F" w:rsidP="00B13E9F">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Total </w:t>
            </w:r>
            <w:r w:rsidR="009761E9" w:rsidRPr="00620914">
              <w:rPr>
                <w:rFonts w:ascii="Arial" w:eastAsia="Times New Roman" w:hAnsi="Arial" w:cs="Arial"/>
                <w:sz w:val="22"/>
                <w:szCs w:val="22"/>
                <w:lang w:eastAsia="en-GB"/>
              </w:rPr>
              <w:t>s</w:t>
            </w:r>
            <w:r w:rsidRPr="00620914">
              <w:rPr>
                <w:rFonts w:ascii="Arial" w:eastAsia="Times New Roman" w:hAnsi="Arial" w:cs="Arial"/>
                <w:sz w:val="22"/>
                <w:szCs w:val="22"/>
                <w:lang w:eastAsia="en-GB"/>
              </w:rPr>
              <w:t xml:space="preserve">upply </w:t>
            </w:r>
            <w:r w:rsidR="009761E9" w:rsidRPr="00620914">
              <w:rPr>
                <w:rFonts w:ascii="Arial" w:eastAsia="Times New Roman" w:hAnsi="Arial" w:cs="Arial"/>
                <w:sz w:val="22"/>
                <w:szCs w:val="22"/>
                <w:lang w:eastAsia="en-GB"/>
              </w:rPr>
              <w:t>w</w:t>
            </w:r>
            <w:r w:rsidRPr="00620914">
              <w:rPr>
                <w:rFonts w:ascii="Arial" w:eastAsia="Times New Roman" w:hAnsi="Arial" w:cs="Arial"/>
                <w:sz w:val="22"/>
                <w:szCs w:val="22"/>
                <w:lang w:eastAsia="en-GB"/>
              </w:rPr>
              <w:t xml:space="preserve">ithout </w:t>
            </w:r>
            <w:r w:rsidR="009761E9" w:rsidRPr="00620914">
              <w:rPr>
                <w:rFonts w:ascii="Arial" w:eastAsia="Times New Roman" w:hAnsi="Arial" w:cs="Arial"/>
                <w:sz w:val="22"/>
                <w:szCs w:val="22"/>
                <w:lang w:eastAsia="en-GB"/>
              </w:rPr>
              <w:t>w</w:t>
            </w:r>
            <w:r w:rsidRPr="00620914">
              <w:rPr>
                <w:rFonts w:ascii="Arial" w:eastAsia="Times New Roman" w:hAnsi="Arial" w:cs="Arial"/>
                <w:sz w:val="22"/>
                <w:szCs w:val="22"/>
                <w:lang w:eastAsia="en-GB"/>
              </w:rPr>
              <w:t>indfalls</w:t>
            </w:r>
          </w:p>
        </w:tc>
        <w:tc>
          <w:tcPr>
            <w:tcW w:w="2552" w:type="dxa"/>
            <w:tcBorders>
              <w:top w:val="nil"/>
              <w:left w:val="nil"/>
              <w:bottom w:val="single" w:sz="4" w:space="0" w:color="auto"/>
              <w:right w:val="single" w:sz="8" w:space="0" w:color="auto"/>
            </w:tcBorders>
            <w:shd w:val="clear" w:color="auto" w:fill="auto"/>
            <w:noWrap/>
            <w:vAlign w:val="bottom"/>
            <w:hideMark/>
          </w:tcPr>
          <w:p w14:paraId="4F45ACEE" w14:textId="79D52611" w:rsidR="00B13E9F" w:rsidRPr="00620914" w:rsidRDefault="00B13E9F"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w:t>
            </w:r>
            <w:r w:rsidR="00017F2C" w:rsidRPr="00620914">
              <w:rPr>
                <w:rFonts w:ascii="Arial" w:eastAsia="Times New Roman" w:hAnsi="Arial" w:cs="Arial"/>
                <w:sz w:val="22"/>
                <w:szCs w:val="22"/>
                <w:lang w:eastAsia="en-GB"/>
              </w:rPr>
              <w:t>,</w:t>
            </w:r>
            <w:r w:rsidRPr="00620914">
              <w:rPr>
                <w:rFonts w:ascii="Arial" w:eastAsia="Times New Roman" w:hAnsi="Arial" w:cs="Arial"/>
                <w:sz w:val="22"/>
                <w:szCs w:val="22"/>
                <w:lang w:eastAsia="en-GB"/>
              </w:rPr>
              <w:t>628</w:t>
            </w:r>
          </w:p>
        </w:tc>
      </w:tr>
      <w:tr w:rsidR="00C823E0" w:rsidRPr="00620914" w14:paraId="5C7537C2" w14:textId="77777777" w:rsidTr="006930DB">
        <w:trPr>
          <w:trHeight w:val="23"/>
        </w:trPr>
        <w:tc>
          <w:tcPr>
            <w:tcW w:w="6369" w:type="dxa"/>
            <w:tcBorders>
              <w:top w:val="nil"/>
              <w:left w:val="single" w:sz="8" w:space="0" w:color="auto"/>
              <w:bottom w:val="single" w:sz="4" w:space="0" w:color="auto"/>
              <w:right w:val="single" w:sz="8" w:space="0" w:color="auto"/>
            </w:tcBorders>
            <w:shd w:val="clear" w:color="auto" w:fill="auto"/>
            <w:noWrap/>
            <w:vAlign w:val="bottom"/>
            <w:hideMark/>
          </w:tcPr>
          <w:p w14:paraId="3208CFBF" w14:textId="7E8F2C74" w:rsidR="00B13E9F" w:rsidRPr="00620914" w:rsidRDefault="00B13E9F" w:rsidP="00B13E9F">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All </w:t>
            </w:r>
            <w:r w:rsidR="009761E9" w:rsidRPr="00620914">
              <w:rPr>
                <w:rFonts w:ascii="Arial" w:eastAsia="Times New Roman" w:hAnsi="Arial" w:cs="Arial"/>
                <w:sz w:val="22"/>
                <w:szCs w:val="22"/>
                <w:lang w:eastAsia="en-GB"/>
              </w:rPr>
              <w:t>w</w:t>
            </w:r>
            <w:r w:rsidRPr="00620914">
              <w:rPr>
                <w:rFonts w:ascii="Arial" w:eastAsia="Times New Roman" w:hAnsi="Arial" w:cs="Arial"/>
                <w:sz w:val="22"/>
                <w:szCs w:val="22"/>
                <w:lang w:eastAsia="en-GB"/>
              </w:rPr>
              <w:t>indfalls (y</w:t>
            </w:r>
            <w:r w:rsidR="00844824" w:rsidRPr="00620914">
              <w:rPr>
                <w:rFonts w:ascii="Arial" w:eastAsia="Times New Roman" w:hAnsi="Arial" w:cs="Arial"/>
                <w:sz w:val="22"/>
                <w:szCs w:val="22"/>
                <w:lang w:eastAsia="en-GB"/>
              </w:rPr>
              <w:t>ears</w:t>
            </w:r>
            <w:r w:rsidRPr="00620914">
              <w:rPr>
                <w:rFonts w:ascii="Arial" w:eastAsia="Times New Roman" w:hAnsi="Arial" w:cs="Arial"/>
                <w:sz w:val="22"/>
                <w:szCs w:val="22"/>
                <w:lang w:eastAsia="en-GB"/>
              </w:rPr>
              <w:t xml:space="preserve"> 4 &amp; 5</w:t>
            </w:r>
            <w:r w:rsidR="006930DB" w:rsidRPr="00620914">
              <w:rPr>
                <w:rFonts w:ascii="Arial" w:eastAsia="Times New Roman" w:hAnsi="Arial" w:cs="Arial"/>
                <w:sz w:val="22"/>
                <w:szCs w:val="22"/>
                <w:lang w:eastAsia="en-GB"/>
              </w:rPr>
              <w:t xml:space="preserve"> only</w:t>
            </w:r>
            <w:r w:rsidRPr="00620914">
              <w:rPr>
                <w:rFonts w:ascii="Arial" w:eastAsia="Times New Roman" w:hAnsi="Arial" w:cs="Arial"/>
                <w:sz w:val="22"/>
                <w:szCs w:val="22"/>
                <w:lang w:eastAsia="en-GB"/>
              </w:rPr>
              <w:t>)</w:t>
            </w:r>
            <w:r w:rsidR="009761E9" w:rsidRPr="00620914">
              <w:rPr>
                <w:rFonts w:ascii="Arial" w:eastAsia="Times New Roman" w:hAnsi="Arial" w:cs="Arial"/>
                <w:sz w:val="22"/>
                <w:szCs w:val="22"/>
                <w:lang w:eastAsia="en-GB"/>
              </w:rPr>
              <w:t>,</w:t>
            </w:r>
            <w:r w:rsidRPr="00620914">
              <w:rPr>
                <w:rFonts w:ascii="Arial" w:eastAsia="Times New Roman" w:hAnsi="Arial" w:cs="Arial"/>
                <w:sz w:val="22"/>
                <w:szCs w:val="22"/>
                <w:lang w:eastAsia="en-GB"/>
              </w:rPr>
              <w:t xml:space="preserve"> </w:t>
            </w:r>
            <w:r w:rsidR="009761E9" w:rsidRPr="00620914">
              <w:rPr>
                <w:rFonts w:ascii="Arial" w:eastAsia="Times New Roman" w:hAnsi="Arial" w:cs="Arial"/>
                <w:sz w:val="22"/>
                <w:szCs w:val="22"/>
                <w:lang w:eastAsia="en-GB"/>
              </w:rPr>
              <w:t>a</w:t>
            </w:r>
            <w:r w:rsidR="006F320F" w:rsidRPr="00620914">
              <w:rPr>
                <w:rFonts w:ascii="Arial" w:eastAsia="Times New Roman" w:hAnsi="Arial" w:cs="Arial"/>
                <w:sz w:val="22"/>
                <w:szCs w:val="22"/>
                <w:lang w:eastAsia="en-GB"/>
              </w:rPr>
              <w:t>verage</w:t>
            </w:r>
            <w:r w:rsidRPr="00620914">
              <w:rPr>
                <w:rFonts w:ascii="Arial" w:eastAsia="Times New Roman" w:hAnsi="Arial" w:cs="Arial"/>
                <w:sz w:val="22"/>
                <w:szCs w:val="22"/>
                <w:lang w:eastAsia="en-GB"/>
              </w:rPr>
              <w:t xml:space="preserve"> 260pa</w:t>
            </w:r>
          </w:p>
        </w:tc>
        <w:tc>
          <w:tcPr>
            <w:tcW w:w="2552" w:type="dxa"/>
            <w:tcBorders>
              <w:top w:val="nil"/>
              <w:left w:val="nil"/>
              <w:bottom w:val="single" w:sz="4" w:space="0" w:color="auto"/>
              <w:right w:val="single" w:sz="8" w:space="0" w:color="auto"/>
            </w:tcBorders>
            <w:shd w:val="clear" w:color="auto" w:fill="auto"/>
            <w:noWrap/>
            <w:vAlign w:val="bottom"/>
            <w:hideMark/>
          </w:tcPr>
          <w:p w14:paraId="1716B046" w14:textId="77777777" w:rsidR="00B13E9F" w:rsidRPr="00620914" w:rsidRDefault="00B13E9F"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520</w:t>
            </w:r>
          </w:p>
        </w:tc>
      </w:tr>
      <w:tr w:rsidR="00C823E0" w:rsidRPr="00620914" w14:paraId="134FADFA" w14:textId="77777777" w:rsidTr="006930DB">
        <w:trPr>
          <w:trHeight w:val="23"/>
        </w:trPr>
        <w:tc>
          <w:tcPr>
            <w:tcW w:w="6369" w:type="dxa"/>
            <w:tcBorders>
              <w:top w:val="nil"/>
              <w:left w:val="single" w:sz="8" w:space="0" w:color="auto"/>
              <w:bottom w:val="single" w:sz="4" w:space="0" w:color="auto"/>
              <w:right w:val="single" w:sz="8" w:space="0" w:color="auto"/>
            </w:tcBorders>
            <w:shd w:val="clear" w:color="auto" w:fill="auto"/>
            <w:noWrap/>
            <w:vAlign w:val="bottom"/>
            <w:hideMark/>
          </w:tcPr>
          <w:p w14:paraId="17E8EE83" w14:textId="382D3985" w:rsidR="00B13E9F" w:rsidRPr="00620914" w:rsidRDefault="00B13E9F" w:rsidP="00B13E9F">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 xml:space="preserve">Total </w:t>
            </w:r>
            <w:r w:rsidR="009761E9"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 xml:space="preserve">upply including </w:t>
            </w:r>
            <w:r w:rsidR="009761E9" w:rsidRPr="00620914">
              <w:rPr>
                <w:rFonts w:ascii="Arial" w:eastAsia="Times New Roman" w:hAnsi="Arial" w:cs="Arial"/>
                <w:b/>
                <w:bCs/>
                <w:sz w:val="22"/>
                <w:szCs w:val="22"/>
                <w:lang w:eastAsia="en-GB"/>
              </w:rPr>
              <w:t>w</w:t>
            </w:r>
            <w:r w:rsidRPr="00620914">
              <w:rPr>
                <w:rFonts w:ascii="Arial" w:eastAsia="Times New Roman" w:hAnsi="Arial" w:cs="Arial"/>
                <w:b/>
                <w:bCs/>
                <w:sz w:val="22"/>
                <w:szCs w:val="22"/>
                <w:lang w:eastAsia="en-GB"/>
              </w:rPr>
              <w:t>indfalls</w:t>
            </w:r>
          </w:p>
        </w:tc>
        <w:tc>
          <w:tcPr>
            <w:tcW w:w="2552" w:type="dxa"/>
            <w:tcBorders>
              <w:top w:val="nil"/>
              <w:left w:val="nil"/>
              <w:bottom w:val="single" w:sz="4" w:space="0" w:color="auto"/>
              <w:right w:val="single" w:sz="8" w:space="0" w:color="auto"/>
            </w:tcBorders>
            <w:shd w:val="clear" w:color="auto" w:fill="auto"/>
            <w:noWrap/>
            <w:vAlign w:val="bottom"/>
            <w:hideMark/>
          </w:tcPr>
          <w:p w14:paraId="5E12D3AE" w14:textId="01225A4F" w:rsidR="00B13E9F" w:rsidRPr="00620914" w:rsidRDefault="00B13E9F"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5</w:t>
            </w:r>
            <w:r w:rsidR="00017F2C" w:rsidRPr="00620914">
              <w:rPr>
                <w:rFonts w:ascii="Arial" w:eastAsia="Times New Roman" w:hAnsi="Arial" w:cs="Arial"/>
                <w:b/>
                <w:bCs/>
                <w:sz w:val="22"/>
                <w:szCs w:val="22"/>
                <w:lang w:eastAsia="en-GB"/>
              </w:rPr>
              <w:t>,</w:t>
            </w:r>
            <w:r w:rsidRPr="00620914">
              <w:rPr>
                <w:rFonts w:ascii="Arial" w:eastAsia="Times New Roman" w:hAnsi="Arial" w:cs="Arial"/>
                <w:b/>
                <w:bCs/>
                <w:sz w:val="22"/>
                <w:szCs w:val="22"/>
                <w:lang w:eastAsia="en-GB"/>
              </w:rPr>
              <w:t>148</w:t>
            </w:r>
          </w:p>
        </w:tc>
      </w:tr>
      <w:tr w:rsidR="00C823E0" w:rsidRPr="00620914" w14:paraId="7A40AE15" w14:textId="77777777" w:rsidTr="006930DB">
        <w:trPr>
          <w:trHeight w:val="23"/>
        </w:trPr>
        <w:tc>
          <w:tcPr>
            <w:tcW w:w="6369" w:type="dxa"/>
            <w:tcBorders>
              <w:top w:val="nil"/>
              <w:left w:val="single" w:sz="8" w:space="0" w:color="auto"/>
              <w:bottom w:val="single" w:sz="4" w:space="0" w:color="auto"/>
              <w:right w:val="single" w:sz="8" w:space="0" w:color="auto"/>
            </w:tcBorders>
            <w:shd w:val="clear" w:color="auto" w:fill="auto"/>
            <w:noWrap/>
            <w:vAlign w:val="bottom"/>
            <w:hideMark/>
          </w:tcPr>
          <w:p w14:paraId="72D21BA5" w14:textId="66E9E741" w:rsidR="00B13E9F" w:rsidRPr="00620914" w:rsidRDefault="00B13E9F" w:rsidP="00B13E9F">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5</w:t>
            </w:r>
            <w:r w:rsidR="006F320F" w:rsidRPr="00620914">
              <w:rPr>
                <w:rFonts w:ascii="Arial" w:eastAsia="Times New Roman" w:hAnsi="Arial" w:cs="Arial"/>
                <w:sz w:val="22"/>
                <w:szCs w:val="22"/>
                <w:lang w:eastAsia="en-GB"/>
              </w:rPr>
              <w:t>-</w:t>
            </w:r>
            <w:r w:rsidR="009761E9" w:rsidRPr="00620914">
              <w:rPr>
                <w:rFonts w:ascii="Arial" w:eastAsia="Times New Roman" w:hAnsi="Arial" w:cs="Arial"/>
                <w:sz w:val="22"/>
                <w:szCs w:val="22"/>
                <w:lang w:eastAsia="en-GB"/>
              </w:rPr>
              <w:t>y</w:t>
            </w:r>
            <w:r w:rsidRPr="00620914">
              <w:rPr>
                <w:rFonts w:ascii="Arial" w:eastAsia="Times New Roman" w:hAnsi="Arial" w:cs="Arial"/>
                <w:sz w:val="22"/>
                <w:szCs w:val="22"/>
                <w:lang w:eastAsia="en-GB"/>
              </w:rPr>
              <w:t xml:space="preserve">ear </w:t>
            </w:r>
            <w:r w:rsidR="009761E9" w:rsidRPr="00620914">
              <w:rPr>
                <w:rFonts w:ascii="Arial" w:eastAsia="Times New Roman" w:hAnsi="Arial" w:cs="Arial"/>
                <w:sz w:val="22"/>
                <w:szCs w:val="22"/>
                <w:lang w:eastAsia="en-GB"/>
              </w:rPr>
              <w:t>r</w:t>
            </w:r>
            <w:r w:rsidRPr="00620914">
              <w:rPr>
                <w:rFonts w:ascii="Arial" w:eastAsia="Times New Roman" w:hAnsi="Arial" w:cs="Arial"/>
                <w:sz w:val="22"/>
                <w:szCs w:val="22"/>
                <w:lang w:eastAsia="en-GB"/>
              </w:rPr>
              <w:t>equirement including 5% buffer</w:t>
            </w:r>
          </w:p>
        </w:tc>
        <w:tc>
          <w:tcPr>
            <w:tcW w:w="2552" w:type="dxa"/>
            <w:tcBorders>
              <w:top w:val="nil"/>
              <w:left w:val="nil"/>
              <w:bottom w:val="single" w:sz="4" w:space="0" w:color="auto"/>
              <w:right w:val="single" w:sz="8" w:space="0" w:color="auto"/>
            </w:tcBorders>
            <w:shd w:val="clear" w:color="auto" w:fill="auto"/>
            <w:noWrap/>
            <w:vAlign w:val="bottom"/>
            <w:hideMark/>
          </w:tcPr>
          <w:p w14:paraId="017B8241" w14:textId="1DEF2D31" w:rsidR="00B13E9F" w:rsidRPr="00620914" w:rsidRDefault="00B13E9F"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5</w:t>
            </w:r>
            <w:r w:rsidR="00017F2C" w:rsidRPr="00620914">
              <w:rPr>
                <w:rFonts w:ascii="Arial" w:eastAsia="Times New Roman" w:hAnsi="Arial" w:cs="Arial"/>
                <w:sz w:val="22"/>
                <w:szCs w:val="22"/>
                <w:lang w:eastAsia="en-GB"/>
              </w:rPr>
              <w:t>,</w:t>
            </w:r>
            <w:r w:rsidRPr="00620914">
              <w:rPr>
                <w:rFonts w:ascii="Arial" w:eastAsia="Times New Roman" w:hAnsi="Arial" w:cs="Arial"/>
                <w:sz w:val="22"/>
                <w:szCs w:val="22"/>
                <w:lang w:eastAsia="en-GB"/>
              </w:rPr>
              <w:t>833</w:t>
            </w:r>
          </w:p>
        </w:tc>
      </w:tr>
      <w:tr w:rsidR="00844824" w:rsidRPr="00620914" w14:paraId="5CB6BF3E" w14:textId="77777777" w:rsidTr="006930DB">
        <w:trPr>
          <w:trHeight w:val="23"/>
        </w:trPr>
        <w:tc>
          <w:tcPr>
            <w:tcW w:w="6369" w:type="dxa"/>
            <w:tcBorders>
              <w:top w:val="nil"/>
              <w:left w:val="single" w:sz="8" w:space="0" w:color="auto"/>
              <w:bottom w:val="single" w:sz="8" w:space="0" w:color="auto"/>
              <w:right w:val="single" w:sz="8" w:space="0" w:color="auto"/>
            </w:tcBorders>
            <w:shd w:val="clear" w:color="auto" w:fill="auto"/>
            <w:noWrap/>
            <w:vAlign w:val="bottom"/>
            <w:hideMark/>
          </w:tcPr>
          <w:p w14:paraId="1E635DDC" w14:textId="41A8AA56" w:rsidR="00B13E9F" w:rsidRPr="00620914" w:rsidRDefault="00B13E9F" w:rsidP="00B13E9F">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5</w:t>
            </w:r>
            <w:r w:rsidR="006F320F" w:rsidRPr="00620914">
              <w:rPr>
                <w:rFonts w:ascii="Arial" w:eastAsia="Times New Roman" w:hAnsi="Arial" w:cs="Arial"/>
                <w:b/>
                <w:bCs/>
                <w:sz w:val="22"/>
                <w:szCs w:val="22"/>
                <w:lang w:eastAsia="en-GB"/>
              </w:rPr>
              <w:t>-</w:t>
            </w:r>
            <w:r w:rsidR="009761E9" w:rsidRPr="00620914">
              <w:rPr>
                <w:rFonts w:ascii="Arial" w:eastAsia="Times New Roman" w:hAnsi="Arial" w:cs="Arial"/>
                <w:b/>
                <w:bCs/>
                <w:sz w:val="22"/>
                <w:szCs w:val="22"/>
                <w:lang w:eastAsia="en-GB"/>
              </w:rPr>
              <w:t>y</w:t>
            </w:r>
            <w:r w:rsidRPr="00620914">
              <w:rPr>
                <w:rFonts w:ascii="Arial" w:eastAsia="Times New Roman" w:hAnsi="Arial" w:cs="Arial"/>
                <w:b/>
                <w:bCs/>
                <w:sz w:val="22"/>
                <w:szCs w:val="22"/>
                <w:lang w:eastAsia="en-GB"/>
              </w:rPr>
              <w:t xml:space="preserve">ear </w:t>
            </w:r>
            <w:r w:rsidR="009761E9" w:rsidRPr="00620914">
              <w:rPr>
                <w:rFonts w:ascii="Arial" w:eastAsia="Times New Roman" w:hAnsi="Arial" w:cs="Arial"/>
                <w:b/>
                <w:bCs/>
                <w:sz w:val="22"/>
                <w:szCs w:val="22"/>
                <w:lang w:eastAsia="en-GB"/>
              </w:rPr>
              <w:t>d</w:t>
            </w:r>
            <w:r w:rsidRPr="00620914">
              <w:rPr>
                <w:rFonts w:ascii="Arial" w:eastAsia="Times New Roman" w:hAnsi="Arial" w:cs="Arial"/>
                <w:b/>
                <w:bCs/>
                <w:sz w:val="22"/>
                <w:szCs w:val="22"/>
                <w:lang w:eastAsia="en-GB"/>
              </w:rPr>
              <w:t xml:space="preserve">eliverable </w:t>
            </w:r>
            <w:r w:rsidR="009761E9" w:rsidRPr="00620914">
              <w:rPr>
                <w:rFonts w:ascii="Arial" w:eastAsia="Times New Roman" w:hAnsi="Arial" w:cs="Arial"/>
                <w:b/>
                <w:bCs/>
                <w:sz w:val="22"/>
                <w:szCs w:val="22"/>
                <w:lang w:eastAsia="en-GB"/>
              </w:rPr>
              <w:t>s</w:t>
            </w:r>
            <w:r w:rsidRPr="00620914">
              <w:rPr>
                <w:rFonts w:ascii="Arial" w:eastAsia="Times New Roman" w:hAnsi="Arial" w:cs="Arial"/>
                <w:b/>
                <w:bCs/>
                <w:sz w:val="22"/>
                <w:szCs w:val="22"/>
                <w:lang w:eastAsia="en-GB"/>
              </w:rPr>
              <w:t>upply</w:t>
            </w:r>
          </w:p>
        </w:tc>
        <w:tc>
          <w:tcPr>
            <w:tcW w:w="2552" w:type="dxa"/>
            <w:tcBorders>
              <w:top w:val="nil"/>
              <w:left w:val="nil"/>
              <w:bottom w:val="single" w:sz="8" w:space="0" w:color="auto"/>
              <w:right w:val="single" w:sz="8" w:space="0" w:color="auto"/>
            </w:tcBorders>
            <w:shd w:val="clear" w:color="auto" w:fill="auto"/>
            <w:noWrap/>
            <w:vAlign w:val="bottom"/>
            <w:hideMark/>
          </w:tcPr>
          <w:p w14:paraId="65147419" w14:textId="77777777" w:rsidR="00B13E9F" w:rsidRPr="00620914" w:rsidRDefault="00B13E9F"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4.41</w:t>
            </w:r>
          </w:p>
        </w:tc>
      </w:tr>
    </w:tbl>
    <w:p w14:paraId="3DEE9B6F" w14:textId="77777777" w:rsidR="007E0E6E" w:rsidRPr="00C823E0" w:rsidRDefault="007E0E6E" w:rsidP="00CF5E27">
      <w:pPr>
        <w:rPr>
          <w:rFonts w:ascii="Aptos" w:hAnsi="Aptos"/>
          <w:b/>
          <w:bCs/>
          <w:sz w:val="22"/>
          <w:szCs w:val="22"/>
        </w:rPr>
      </w:pPr>
    </w:p>
    <w:p w14:paraId="777BDDF7" w14:textId="5807CA74" w:rsidR="00CA42DB" w:rsidRPr="00A371FA" w:rsidRDefault="00CA42DB" w:rsidP="00CF5E27">
      <w:pPr>
        <w:rPr>
          <w:rFonts w:ascii="Arial" w:hAnsi="Arial" w:cs="Arial"/>
          <w:sz w:val="24"/>
          <w:szCs w:val="24"/>
          <w:u w:val="single"/>
        </w:rPr>
      </w:pPr>
      <w:r w:rsidRPr="00A371FA">
        <w:rPr>
          <w:rFonts w:ascii="Arial" w:hAnsi="Arial" w:cs="Arial"/>
          <w:sz w:val="24"/>
          <w:szCs w:val="24"/>
          <w:u w:val="single"/>
        </w:rPr>
        <w:t xml:space="preserve">Trajectory </w:t>
      </w:r>
    </w:p>
    <w:p w14:paraId="50F66E8B" w14:textId="71D89B7A" w:rsidR="007E0E6E" w:rsidRPr="00A56139" w:rsidRDefault="00CA42DB" w:rsidP="00CF5E27">
      <w:pPr>
        <w:rPr>
          <w:rFonts w:ascii="Arial" w:hAnsi="Arial" w:cs="Arial"/>
          <w:sz w:val="24"/>
          <w:szCs w:val="24"/>
        </w:rPr>
      </w:pPr>
      <w:r w:rsidRPr="00A56139">
        <w:rPr>
          <w:rFonts w:ascii="Arial" w:hAnsi="Arial" w:cs="Arial"/>
          <w:sz w:val="24"/>
          <w:szCs w:val="24"/>
        </w:rPr>
        <w:t>3.2</w:t>
      </w:r>
      <w:r w:rsidR="00942519" w:rsidRPr="00A56139">
        <w:rPr>
          <w:rFonts w:ascii="Arial" w:hAnsi="Arial" w:cs="Arial"/>
          <w:sz w:val="24"/>
          <w:szCs w:val="24"/>
        </w:rPr>
        <w:t>1</w:t>
      </w:r>
      <w:r w:rsidRPr="00A56139">
        <w:rPr>
          <w:rFonts w:ascii="Arial" w:hAnsi="Arial" w:cs="Arial"/>
          <w:b/>
          <w:bCs/>
          <w:sz w:val="24"/>
          <w:szCs w:val="24"/>
        </w:rPr>
        <w:t xml:space="preserve"> </w:t>
      </w:r>
      <w:r w:rsidRPr="00A56139">
        <w:rPr>
          <w:rFonts w:ascii="Arial" w:hAnsi="Arial" w:cs="Arial"/>
          <w:sz w:val="24"/>
          <w:szCs w:val="24"/>
        </w:rPr>
        <w:t xml:space="preserve">The trajectory below </w:t>
      </w:r>
      <w:r w:rsidR="00A371FA">
        <w:rPr>
          <w:rFonts w:ascii="Arial" w:hAnsi="Arial" w:cs="Arial"/>
          <w:sz w:val="24"/>
          <w:szCs w:val="24"/>
        </w:rPr>
        <w:t>shows</w:t>
      </w:r>
      <w:r w:rsidRPr="00A56139">
        <w:rPr>
          <w:rFonts w:ascii="Arial" w:hAnsi="Arial" w:cs="Arial"/>
          <w:sz w:val="24"/>
          <w:szCs w:val="24"/>
        </w:rPr>
        <w:t xml:space="preserve"> that delivery</w:t>
      </w:r>
      <w:r w:rsidR="00F95F57" w:rsidRPr="00A56139">
        <w:rPr>
          <w:rFonts w:ascii="Arial" w:hAnsi="Arial" w:cs="Arial"/>
          <w:sz w:val="24"/>
          <w:szCs w:val="24"/>
        </w:rPr>
        <w:t xml:space="preserve"> is anticipated to continue throughout</w:t>
      </w:r>
      <w:r w:rsidRPr="00A56139">
        <w:rPr>
          <w:rFonts w:ascii="Arial" w:hAnsi="Arial" w:cs="Arial"/>
          <w:sz w:val="24"/>
          <w:szCs w:val="24"/>
        </w:rPr>
        <w:t xml:space="preserve"> the 5-year period from housing developments that are already on site and therefore are highly likely to be completed. </w:t>
      </w:r>
    </w:p>
    <w:tbl>
      <w:tblPr>
        <w:tblW w:w="9072" w:type="dxa"/>
        <w:tblCellMar>
          <w:top w:w="57" w:type="dxa"/>
          <w:bottom w:w="57" w:type="dxa"/>
        </w:tblCellMar>
        <w:tblLook w:val="04A0" w:firstRow="1" w:lastRow="0" w:firstColumn="1" w:lastColumn="0" w:noHBand="0" w:noVBand="1"/>
      </w:tblPr>
      <w:tblGrid>
        <w:gridCol w:w="2832"/>
        <w:gridCol w:w="1012"/>
        <w:gridCol w:w="1012"/>
        <w:gridCol w:w="1012"/>
        <w:gridCol w:w="1012"/>
        <w:gridCol w:w="1012"/>
        <w:gridCol w:w="1180"/>
      </w:tblGrid>
      <w:tr w:rsidR="00C823E0" w:rsidRPr="00620914" w14:paraId="782AB32C" w14:textId="77777777" w:rsidTr="00017F2C">
        <w:trPr>
          <w:trHeight w:val="15"/>
        </w:trPr>
        <w:tc>
          <w:tcPr>
            <w:tcW w:w="9134" w:type="dxa"/>
            <w:gridSpan w:val="7"/>
            <w:tcBorders>
              <w:top w:val="single" w:sz="8" w:space="0" w:color="auto"/>
              <w:left w:val="single" w:sz="8" w:space="0" w:color="auto"/>
              <w:bottom w:val="single" w:sz="8" w:space="0" w:color="000000"/>
              <w:right w:val="single" w:sz="8" w:space="0" w:color="auto"/>
            </w:tcBorders>
            <w:shd w:val="clear" w:color="auto" w:fill="auto"/>
            <w:vAlign w:val="center"/>
          </w:tcPr>
          <w:p w14:paraId="75B33CA6" w14:textId="73CEF3DA" w:rsidR="00F95F57" w:rsidRPr="00620914" w:rsidRDefault="00F95F57" w:rsidP="00F95F57">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 xml:space="preserve">Table 6: </w:t>
            </w:r>
            <w:r w:rsidR="00942519" w:rsidRPr="00620914">
              <w:rPr>
                <w:rFonts w:ascii="Arial" w:eastAsia="Times New Roman" w:hAnsi="Arial" w:cs="Arial"/>
                <w:b/>
                <w:bCs/>
                <w:sz w:val="22"/>
                <w:szCs w:val="22"/>
                <w:lang w:eastAsia="en-GB"/>
              </w:rPr>
              <w:t>Five</w:t>
            </w:r>
            <w:r w:rsidRPr="00620914">
              <w:rPr>
                <w:rFonts w:ascii="Arial" w:eastAsia="Times New Roman" w:hAnsi="Arial" w:cs="Arial"/>
                <w:b/>
                <w:bCs/>
                <w:sz w:val="22"/>
                <w:szCs w:val="22"/>
                <w:lang w:eastAsia="en-GB"/>
              </w:rPr>
              <w:t>-year housing supply trajectory</w:t>
            </w:r>
          </w:p>
        </w:tc>
      </w:tr>
      <w:tr w:rsidR="00017F2C" w:rsidRPr="00620914" w14:paraId="726E2030" w14:textId="77777777" w:rsidTr="00017F2C">
        <w:trPr>
          <w:trHeight w:val="20"/>
        </w:trPr>
        <w:tc>
          <w:tcPr>
            <w:tcW w:w="2906" w:type="dxa"/>
            <w:vMerge w:val="restart"/>
            <w:tcBorders>
              <w:top w:val="single" w:sz="8" w:space="0" w:color="auto"/>
              <w:left w:val="single" w:sz="8" w:space="0" w:color="auto"/>
              <w:right w:val="single" w:sz="8" w:space="0" w:color="auto"/>
            </w:tcBorders>
            <w:shd w:val="clear" w:color="auto" w:fill="auto"/>
            <w:vAlign w:val="center"/>
            <w:hideMark/>
          </w:tcPr>
          <w:p w14:paraId="3FD9678C" w14:textId="3F169CA3" w:rsidR="00017F2C" w:rsidRPr="00620914" w:rsidRDefault="00017F2C" w:rsidP="00EF31E2">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Status of deliverable sites</w:t>
            </w:r>
          </w:p>
        </w:tc>
        <w:tc>
          <w:tcPr>
            <w:tcW w:w="5035" w:type="dxa"/>
            <w:gridSpan w:val="5"/>
            <w:tcBorders>
              <w:top w:val="single" w:sz="8" w:space="0" w:color="auto"/>
              <w:left w:val="nil"/>
              <w:bottom w:val="single" w:sz="8" w:space="0" w:color="auto"/>
              <w:right w:val="single" w:sz="8" w:space="0" w:color="000000"/>
            </w:tcBorders>
            <w:shd w:val="clear" w:color="auto" w:fill="auto"/>
            <w:vAlign w:val="center"/>
            <w:hideMark/>
          </w:tcPr>
          <w:p w14:paraId="12663177" w14:textId="63A8500B" w:rsidR="00017F2C" w:rsidRPr="00620914" w:rsidRDefault="00017F2C" w:rsidP="00EF31E2">
            <w:pPr>
              <w:spacing w:after="0" w:line="240" w:lineRule="auto"/>
              <w:jc w:val="center"/>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5-year supply</w:t>
            </w:r>
          </w:p>
        </w:tc>
        <w:tc>
          <w:tcPr>
            <w:tcW w:w="1193" w:type="dxa"/>
            <w:vMerge w:val="restart"/>
            <w:tcBorders>
              <w:top w:val="single" w:sz="8" w:space="0" w:color="auto"/>
              <w:left w:val="nil"/>
              <w:right w:val="single" w:sz="8" w:space="0" w:color="auto"/>
            </w:tcBorders>
            <w:shd w:val="clear" w:color="auto" w:fill="auto"/>
            <w:vAlign w:val="center"/>
            <w:hideMark/>
          </w:tcPr>
          <w:p w14:paraId="75846045" w14:textId="251CFC7C"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Total 5-year supply</w:t>
            </w:r>
          </w:p>
        </w:tc>
      </w:tr>
      <w:tr w:rsidR="00017F2C" w:rsidRPr="00620914" w14:paraId="00E4DE18" w14:textId="77777777" w:rsidTr="00017F2C">
        <w:trPr>
          <w:trHeight w:val="36"/>
        </w:trPr>
        <w:tc>
          <w:tcPr>
            <w:tcW w:w="2906" w:type="dxa"/>
            <w:vMerge/>
            <w:tcBorders>
              <w:left w:val="single" w:sz="8" w:space="0" w:color="auto"/>
              <w:bottom w:val="single" w:sz="8" w:space="0" w:color="000000"/>
              <w:right w:val="single" w:sz="8" w:space="0" w:color="auto"/>
            </w:tcBorders>
            <w:shd w:val="clear" w:color="auto" w:fill="auto"/>
            <w:vAlign w:val="center"/>
            <w:hideMark/>
          </w:tcPr>
          <w:p w14:paraId="42CC3417" w14:textId="77777777" w:rsidR="00017F2C" w:rsidRPr="00620914" w:rsidRDefault="00017F2C" w:rsidP="00EF31E2">
            <w:pPr>
              <w:spacing w:after="0" w:line="240" w:lineRule="auto"/>
              <w:rPr>
                <w:rFonts w:ascii="Arial" w:eastAsia="Times New Roman" w:hAnsi="Arial" w:cs="Arial"/>
                <w:b/>
                <w:bCs/>
                <w:sz w:val="22"/>
                <w:szCs w:val="22"/>
                <w:lang w:eastAsia="en-GB"/>
              </w:rPr>
            </w:pPr>
          </w:p>
        </w:tc>
        <w:tc>
          <w:tcPr>
            <w:tcW w:w="1007" w:type="dxa"/>
            <w:tcBorders>
              <w:top w:val="nil"/>
              <w:left w:val="nil"/>
              <w:bottom w:val="single" w:sz="8" w:space="0" w:color="auto"/>
              <w:right w:val="single" w:sz="8" w:space="0" w:color="auto"/>
            </w:tcBorders>
            <w:shd w:val="clear" w:color="auto" w:fill="auto"/>
            <w:vAlign w:val="center"/>
            <w:hideMark/>
          </w:tcPr>
          <w:p w14:paraId="2EF71C57"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2025/26</w:t>
            </w:r>
          </w:p>
        </w:tc>
        <w:tc>
          <w:tcPr>
            <w:tcW w:w="1007" w:type="dxa"/>
            <w:tcBorders>
              <w:top w:val="nil"/>
              <w:left w:val="nil"/>
              <w:bottom w:val="single" w:sz="8" w:space="0" w:color="auto"/>
              <w:right w:val="single" w:sz="8" w:space="0" w:color="auto"/>
            </w:tcBorders>
            <w:shd w:val="clear" w:color="auto" w:fill="auto"/>
            <w:vAlign w:val="center"/>
            <w:hideMark/>
          </w:tcPr>
          <w:p w14:paraId="5907021B"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2026/27</w:t>
            </w:r>
          </w:p>
        </w:tc>
        <w:tc>
          <w:tcPr>
            <w:tcW w:w="1007" w:type="dxa"/>
            <w:tcBorders>
              <w:top w:val="nil"/>
              <w:left w:val="nil"/>
              <w:bottom w:val="single" w:sz="8" w:space="0" w:color="auto"/>
              <w:right w:val="single" w:sz="8" w:space="0" w:color="auto"/>
            </w:tcBorders>
            <w:shd w:val="clear" w:color="auto" w:fill="auto"/>
            <w:vAlign w:val="center"/>
            <w:hideMark/>
          </w:tcPr>
          <w:p w14:paraId="7CE8B11A"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2027/28</w:t>
            </w:r>
          </w:p>
        </w:tc>
        <w:tc>
          <w:tcPr>
            <w:tcW w:w="1007" w:type="dxa"/>
            <w:tcBorders>
              <w:top w:val="nil"/>
              <w:left w:val="nil"/>
              <w:bottom w:val="single" w:sz="8" w:space="0" w:color="auto"/>
              <w:right w:val="single" w:sz="8" w:space="0" w:color="auto"/>
            </w:tcBorders>
            <w:shd w:val="clear" w:color="auto" w:fill="auto"/>
            <w:vAlign w:val="center"/>
            <w:hideMark/>
          </w:tcPr>
          <w:p w14:paraId="05DF36D9"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2028/29</w:t>
            </w:r>
          </w:p>
        </w:tc>
        <w:tc>
          <w:tcPr>
            <w:tcW w:w="1007" w:type="dxa"/>
            <w:tcBorders>
              <w:top w:val="nil"/>
              <w:left w:val="nil"/>
              <w:bottom w:val="single" w:sz="8" w:space="0" w:color="auto"/>
              <w:right w:val="single" w:sz="8" w:space="0" w:color="auto"/>
            </w:tcBorders>
            <w:shd w:val="clear" w:color="auto" w:fill="auto"/>
            <w:vAlign w:val="center"/>
            <w:hideMark/>
          </w:tcPr>
          <w:p w14:paraId="5F47D4CF" w14:textId="77777777" w:rsidR="00017F2C" w:rsidRPr="00620914" w:rsidRDefault="00017F2C"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2029/30</w:t>
            </w:r>
          </w:p>
        </w:tc>
        <w:tc>
          <w:tcPr>
            <w:tcW w:w="1193" w:type="dxa"/>
            <w:vMerge/>
            <w:tcBorders>
              <w:left w:val="nil"/>
              <w:bottom w:val="single" w:sz="8" w:space="0" w:color="000000"/>
              <w:right w:val="single" w:sz="8" w:space="0" w:color="auto"/>
            </w:tcBorders>
            <w:shd w:val="clear" w:color="auto" w:fill="auto"/>
            <w:vAlign w:val="center"/>
            <w:hideMark/>
          </w:tcPr>
          <w:p w14:paraId="61BBE8F5" w14:textId="77777777" w:rsidR="00017F2C" w:rsidRPr="00620914" w:rsidRDefault="00017F2C" w:rsidP="00EF31E2">
            <w:pPr>
              <w:spacing w:after="0" w:line="240" w:lineRule="auto"/>
              <w:rPr>
                <w:rFonts w:ascii="Arial" w:eastAsia="Times New Roman" w:hAnsi="Arial" w:cs="Arial"/>
                <w:b/>
                <w:bCs/>
                <w:sz w:val="22"/>
                <w:szCs w:val="22"/>
                <w:lang w:eastAsia="en-GB"/>
              </w:rPr>
            </w:pPr>
          </w:p>
        </w:tc>
      </w:tr>
      <w:tr w:rsidR="00C823E0" w:rsidRPr="00620914" w14:paraId="0E8A36CE" w14:textId="77777777" w:rsidTr="00017F2C">
        <w:trPr>
          <w:trHeight w:val="374"/>
        </w:trPr>
        <w:tc>
          <w:tcPr>
            <w:tcW w:w="2906" w:type="dxa"/>
            <w:tcBorders>
              <w:top w:val="nil"/>
              <w:left w:val="single" w:sz="8" w:space="0" w:color="auto"/>
              <w:bottom w:val="single" w:sz="8" w:space="0" w:color="auto"/>
              <w:right w:val="single" w:sz="8" w:space="0" w:color="auto"/>
            </w:tcBorders>
            <w:shd w:val="clear" w:color="auto" w:fill="auto"/>
            <w:vAlign w:val="center"/>
            <w:hideMark/>
          </w:tcPr>
          <w:p w14:paraId="6728DF16" w14:textId="6CFE890A" w:rsidR="00CC56DA" w:rsidRPr="00620914" w:rsidRDefault="00CC56DA"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Large sites under construction</w:t>
            </w:r>
          </w:p>
        </w:tc>
        <w:tc>
          <w:tcPr>
            <w:tcW w:w="1007" w:type="dxa"/>
            <w:tcBorders>
              <w:top w:val="nil"/>
              <w:left w:val="nil"/>
              <w:bottom w:val="single" w:sz="8" w:space="0" w:color="auto"/>
              <w:right w:val="single" w:sz="8" w:space="0" w:color="auto"/>
            </w:tcBorders>
            <w:shd w:val="clear" w:color="auto" w:fill="auto"/>
            <w:vAlign w:val="center"/>
            <w:hideMark/>
          </w:tcPr>
          <w:p w14:paraId="26033AD1"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795</w:t>
            </w:r>
          </w:p>
        </w:tc>
        <w:tc>
          <w:tcPr>
            <w:tcW w:w="1007" w:type="dxa"/>
            <w:tcBorders>
              <w:top w:val="nil"/>
              <w:left w:val="nil"/>
              <w:bottom w:val="single" w:sz="8" w:space="0" w:color="auto"/>
              <w:right w:val="single" w:sz="8" w:space="0" w:color="auto"/>
            </w:tcBorders>
            <w:shd w:val="clear" w:color="auto" w:fill="auto"/>
            <w:vAlign w:val="center"/>
            <w:hideMark/>
          </w:tcPr>
          <w:p w14:paraId="64F4317A"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598</w:t>
            </w:r>
          </w:p>
        </w:tc>
        <w:tc>
          <w:tcPr>
            <w:tcW w:w="1007" w:type="dxa"/>
            <w:tcBorders>
              <w:top w:val="nil"/>
              <w:left w:val="nil"/>
              <w:bottom w:val="single" w:sz="8" w:space="0" w:color="auto"/>
              <w:right w:val="single" w:sz="8" w:space="0" w:color="auto"/>
            </w:tcBorders>
            <w:shd w:val="clear" w:color="auto" w:fill="auto"/>
            <w:vAlign w:val="center"/>
            <w:hideMark/>
          </w:tcPr>
          <w:p w14:paraId="071AEF17"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521</w:t>
            </w:r>
          </w:p>
        </w:tc>
        <w:tc>
          <w:tcPr>
            <w:tcW w:w="1007" w:type="dxa"/>
            <w:tcBorders>
              <w:top w:val="nil"/>
              <w:left w:val="nil"/>
              <w:bottom w:val="single" w:sz="8" w:space="0" w:color="auto"/>
              <w:right w:val="single" w:sz="8" w:space="0" w:color="auto"/>
            </w:tcBorders>
            <w:shd w:val="clear" w:color="auto" w:fill="auto"/>
            <w:vAlign w:val="center"/>
            <w:hideMark/>
          </w:tcPr>
          <w:p w14:paraId="2F52E9B2"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425</w:t>
            </w:r>
          </w:p>
        </w:tc>
        <w:tc>
          <w:tcPr>
            <w:tcW w:w="1007" w:type="dxa"/>
            <w:tcBorders>
              <w:top w:val="nil"/>
              <w:left w:val="nil"/>
              <w:bottom w:val="single" w:sz="8" w:space="0" w:color="auto"/>
              <w:right w:val="single" w:sz="8" w:space="0" w:color="auto"/>
            </w:tcBorders>
            <w:shd w:val="clear" w:color="auto" w:fill="auto"/>
            <w:vAlign w:val="center"/>
            <w:hideMark/>
          </w:tcPr>
          <w:p w14:paraId="1ADC2F2D"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389</w:t>
            </w:r>
          </w:p>
        </w:tc>
        <w:tc>
          <w:tcPr>
            <w:tcW w:w="1193" w:type="dxa"/>
            <w:tcBorders>
              <w:top w:val="nil"/>
              <w:left w:val="nil"/>
              <w:bottom w:val="single" w:sz="8" w:space="0" w:color="auto"/>
              <w:right w:val="single" w:sz="8" w:space="0" w:color="auto"/>
            </w:tcBorders>
            <w:shd w:val="clear" w:color="auto" w:fill="auto"/>
            <w:vAlign w:val="center"/>
            <w:hideMark/>
          </w:tcPr>
          <w:p w14:paraId="0C0A9F34" w14:textId="71CFC18C"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w:t>
            </w:r>
            <w:r w:rsidR="00017F2C" w:rsidRPr="00620914">
              <w:rPr>
                <w:rFonts w:ascii="Arial" w:eastAsia="Times New Roman" w:hAnsi="Arial" w:cs="Arial"/>
                <w:sz w:val="22"/>
                <w:szCs w:val="22"/>
                <w:lang w:eastAsia="en-GB"/>
              </w:rPr>
              <w:t>,</w:t>
            </w:r>
            <w:r w:rsidRPr="00620914">
              <w:rPr>
                <w:rFonts w:ascii="Arial" w:eastAsia="Times New Roman" w:hAnsi="Arial" w:cs="Arial"/>
                <w:sz w:val="22"/>
                <w:szCs w:val="22"/>
                <w:lang w:eastAsia="en-GB"/>
              </w:rPr>
              <w:t>728</w:t>
            </w:r>
          </w:p>
        </w:tc>
      </w:tr>
      <w:tr w:rsidR="00C823E0" w:rsidRPr="00620914" w14:paraId="6AA89F1F" w14:textId="77777777" w:rsidTr="00017F2C">
        <w:trPr>
          <w:trHeight w:val="284"/>
        </w:trPr>
        <w:tc>
          <w:tcPr>
            <w:tcW w:w="2906" w:type="dxa"/>
            <w:tcBorders>
              <w:top w:val="nil"/>
              <w:left w:val="single" w:sz="8" w:space="0" w:color="auto"/>
              <w:bottom w:val="single" w:sz="8" w:space="0" w:color="auto"/>
              <w:right w:val="single" w:sz="8" w:space="0" w:color="auto"/>
            </w:tcBorders>
            <w:shd w:val="clear" w:color="auto" w:fill="auto"/>
            <w:vAlign w:val="center"/>
            <w:hideMark/>
          </w:tcPr>
          <w:p w14:paraId="6765370E" w14:textId="6DF69A36" w:rsidR="00CC56DA" w:rsidRPr="00620914" w:rsidRDefault="00CC56DA"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Large sites with full planning permission not started</w:t>
            </w:r>
          </w:p>
        </w:tc>
        <w:tc>
          <w:tcPr>
            <w:tcW w:w="1007" w:type="dxa"/>
            <w:tcBorders>
              <w:top w:val="nil"/>
              <w:left w:val="nil"/>
              <w:bottom w:val="single" w:sz="8" w:space="0" w:color="auto"/>
              <w:right w:val="single" w:sz="8" w:space="0" w:color="auto"/>
            </w:tcBorders>
            <w:shd w:val="clear" w:color="auto" w:fill="auto"/>
            <w:vAlign w:val="center"/>
            <w:hideMark/>
          </w:tcPr>
          <w:p w14:paraId="30FDF319"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07" w:type="dxa"/>
            <w:tcBorders>
              <w:top w:val="nil"/>
              <w:left w:val="nil"/>
              <w:bottom w:val="single" w:sz="8" w:space="0" w:color="auto"/>
              <w:right w:val="single" w:sz="8" w:space="0" w:color="auto"/>
            </w:tcBorders>
            <w:shd w:val="clear" w:color="auto" w:fill="auto"/>
            <w:vAlign w:val="center"/>
            <w:hideMark/>
          </w:tcPr>
          <w:p w14:paraId="1963C5D9"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63</w:t>
            </w:r>
          </w:p>
        </w:tc>
        <w:tc>
          <w:tcPr>
            <w:tcW w:w="1007" w:type="dxa"/>
            <w:tcBorders>
              <w:top w:val="nil"/>
              <w:left w:val="nil"/>
              <w:bottom w:val="single" w:sz="8" w:space="0" w:color="auto"/>
              <w:right w:val="single" w:sz="8" w:space="0" w:color="auto"/>
            </w:tcBorders>
            <w:shd w:val="clear" w:color="auto" w:fill="auto"/>
            <w:vAlign w:val="center"/>
            <w:hideMark/>
          </w:tcPr>
          <w:p w14:paraId="23A9DF6A"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30</w:t>
            </w:r>
          </w:p>
        </w:tc>
        <w:tc>
          <w:tcPr>
            <w:tcW w:w="1007" w:type="dxa"/>
            <w:tcBorders>
              <w:top w:val="nil"/>
              <w:left w:val="nil"/>
              <w:bottom w:val="single" w:sz="8" w:space="0" w:color="auto"/>
              <w:right w:val="single" w:sz="8" w:space="0" w:color="auto"/>
            </w:tcBorders>
            <w:shd w:val="clear" w:color="auto" w:fill="auto"/>
            <w:vAlign w:val="center"/>
            <w:hideMark/>
          </w:tcPr>
          <w:p w14:paraId="46ECA738"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07" w:type="dxa"/>
            <w:tcBorders>
              <w:top w:val="nil"/>
              <w:left w:val="nil"/>
              <w:bottom w:val="single" w:sz="8" w:space="0" w:color="auto"/>
              <w:right w:val="single" w:sz="8" w:space="0" w:color="auto"/>
            </w:tcBorders>
            <w:shd w:val="clear" w:color="auto" w:fill="auto"/>
            <w:vAlign w:val="center"/>
            <w:hideMark/>
          </w:tcPr>
          <w:p w14:paraId="7FD7F4A5"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193" w:type="dxa"/>
            <w:tcBorders>
              <w:top w:val="nil"/>
              <w:left w:val="nil"/>
              <w:bottom w:val="single" w:sz="8" w:space="0" w:color="auto"/>
              <w:right w:val="single" w:sz="8" w:space="0" w:color="auto"/>
            </w:tcBorders>
            <w:shd w:val="clear" w:color="auto" w:fill="auto"/>
            <w:vAlign w:val="center"/>
            <w:hideMark/>
          </w:tcPr>
          <w:p w14:paraId="1AD14DF6"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93</w:t>
            </w:r>
          </w:p>
        </w:tc>
      </w:tr>
      <w:tr w:rsidR="00C823E0" w:rsidRPr="00620914" w14:paraId="54CAF40E" w14:textId="77777777" w:rsidTr="00017F2C">
        <w:trPr>
          <w:trHeight w:val="720"/>
        </w:trPr>
        <w:tc>
          <w:tcPr>
            <w:tcW w:w="2906" w:type="dxa"/>
            <w:tcBorders>
              <w:top w:val="nil"/>
              <w:left w:val="single" w:sz="8" w:space="0" w:color="auto"/>
              <w:bottom w:val="single" w:sz="8" w:space="0" w:color="auto"/>
              <w:right w:val="single" w:sz="8" w:space="0" w:color="auto"/>
            </w:tcBorders>
            <w:shd w:val="clear" w:color="auto" w:fill="auto"/>
            <w:vAlign w:val="center"/>
            <w:hideMark/>
          </w:tcPr>
          <w:p w14:paraId="61ED5069" w14:textId="77777777" w:rsidR="00CC56DA" w:rsidRPr="00620914" w:rsidRDefault="00CC56DA"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Large sites with outline planning permission</w:t>
            </w:r>
          </w:p>
        </w:tc>
        <w:tc>
          <w:tcPr>
            <w:tcW w:w="1007" w:type="dxa"/>
            <w:tcBorders>
              <w:top w:val="nil"/>
              <w:left w:val="nil"/>
              <w:bottom w:val="single" w:sz="8" w:space="0" w:color="auto"/>
              <w:right w:val="single" w:sz="8" w:space="0" w:color="auto"/>
            </w:tcBorders>
            <w:shd w:val="clear" w:color="auto" w:fill="auto"/>
            <w:vAlign w:val="center"/>
            <w:hideMark/>
          </w:tcPr>
          <w:p w14:paraId="6832B86A"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07" w:type="dxa"/>
            <w:tcBorders>
              <w:top w:val="nil"/>
              <w:left w:val="nil"/>
              <w:bottom w:val="single" w:sz="8" w:space="0" w:color="auto"/>
              <w:right w:val="single" w:sz="8" w:space="0" w:color="auto"/>
            </w:tcBorders>
            <w:shd w:val="clear" w:color="auto" w:fill="auto"/>
            <w:vAlign w:val="center"/>
            <w:hideMark/>
          </w:tcPr>
          <w:p w14:paraId="7CD9A667"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30</w:t>
            </w:r>
          </w:p>
        </w:tc>
        <w:tc>
          <w:tcPr>
            <w:tcW w:w="1007" w:type="dxa"/>
            <w:tcBorders>
              <w:top w:val="nil"/>
              <w:left w:val="nil"/>
              <w:bottom w:val="single" w:sz="8" w:space="0" w:color="auto"/>
              <w:right w:val="single" w:sz="8" w:space="0" w:color="auto"/>
            </w:tcBorders>
            <w:shd w:val="clear" w:color="auto" w:fill="auto"/>
            <w:vAlign w:val="center"/>
            <w:hideMark/>
          </w:tcPr>
          <w:p w14:paraId="44D1ACD6"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110</w:t>
            </w:r>
          </w:p>
        </w:tc>
        <w:tc>
          <w:tcPr>
            <w:tcW w:w="1007" w:type="dxa"/>
            <w:tcBorders>
              <w:top w:val="nil"/>
              <w:left w:val="nil"/>
              <w:bottom w:val="single" w:sz="8" w:space="0" w:color="auto"/>
              <w:right w:val="single" w:sz="8" w:space="0" w:color="auto"/>
            </w:tcBorders>
            <w:shd w:val="clear" w:color="auto" w:fill="auto"/>
            <w:vAlign w:val="center"/>
            <w:hideMark/>
          </w:tcPr>
          <w:p w14:paraId="3AE06B7A"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145</w:t>
            </w:r>
          </w:p>
        </w:tc>
        <w:tc>
          <w:tcPr>
            <w:tcW w:w="1007" w:type="dxa"/>
            <w:tcBorders>
              <w:top w:val="nil"/>
              <w:left w:val="nil"/>
              <w:bottom w:val="single" w:sz="8" w:space="0" w:color="auto"/>
              <w:right w:val="single" w:sz="8" w:space="0" w:color="auto"/>
            </w:tcBorders>
            <w:shd w:val="clear" w:color="auto" w:fill="auto"/>
            <w:vAlign w:val="center"/>
            <w:hideMark/>
          </w:tcPr>
          <w:p w14:paraId="4E880A13"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180</w:t>
            </w:r>
          </w:p>
        </w:tc>
        <w:tc>
          <w:tcPr>
            <w:tcW w:w="1193" w:type="dxa"/>
            <w:tcBorders>
              <w:top w:val="nil"/>
              <w:left w:val="nil"/>
              <w:bottom w:val="single" w:sz="8" w:space="0" w:color="auto"/>
              <w:right w:val="single" w:sz="8" w:space="0" w:color="auto"/>
            </w:tcBorders>
            <w:shd w:val="clear" w:color="auto" w:fill="auto"/>
            <w:vAlign w:val="center"/>
            <w:hideMark/>
          </w:tcPr>
          <w:p w14:paraId="53F7642D"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465</w:t>
            </w:r>
          </w:p>
        </w:tc>
      </w:tr>
      <w:tr w:rsidR="00C823E0" w:rsidRPr="00620914" w14:paraId="63BC0F62" w14:textId="77777777" w:rsidTr="00017F2C">
        <w:trPr>
          <w:trHeight w:val="85"/>
        </w:trPr>
        <w:tc>
          <w:tcPr>
            <w:tcW w:w="2906" w:type="dxa"/>
            <w:tcBorders>
              <w:top w:val="nil"/>
              <w:left w:val="single" w:sz="8" w:space="0" w:color="auto"/>
              <w:bottom w:val="single" w:sz="8" w:space="0" w:color="auto"/>
              <w:right w:val="single" w:sz="8" w:space="0" w:color="auto"/>
            </w:tcBorders>
            <w:shd w:val="clear" w:color="auto" w:fill="auto"/>
            <w:vAlign w:val="center"/>
            <w:hideMark/>
          </w:tcPr>
          <w:p w14:paraId="09019189" w14:textId="341A048B" w:rsidR="00CC56DA" w:rsidRPr="00620914" w:rsidRDefault="00CC56DA"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Large</w:t>
            </w:r>
            <w:r w:rsidR="00533B58" w:rsidRPr="00620914">
              <w:rPr>
                <w:rFonts w:ascii="Arial" w:eastAsia="Times New Roman" w:hAnsi="Arial" w:cs="Arial"/>
                <w:sz w:val="22"/>
                <w:szCs w:val="22"/>
                <w:lang w:eastAsia="en-GB"/>
              </w:rPr>
              <w:t xml:space="preserve"> sites</w:t>
            </w:r>
            <w:r w:rsidRPr="00620914">
              <w:rPr>
                <w:rFonts w:ascii="Arial" w:eastAsia="Times New Roman" w:hAnsi="Arial" w:cs="Arial"/>
                <w:sz w:val="22"/>
                <w:szCs w:val="22"/>
                <w:lang w:eastAsia="en-GB"/>
              </w:rPr>
              <w:t xml:space="preserve"> allocated </w:t>
            </w:r>
            <w:r w:rsidR="00533B58" w:rsidRPr="00620914">
              <w:rPr>
                <w:rFonts w:ascii="Arial" w:eastAsia="Times New Roman" w:hAnsi="Arial" w:cs="Arial"/>
                <w:sz w:val="22"/>
                <w:szCs w:val="22"/>
                <w:lang w:eastAsia="en-GB"/>
              </w:rPr>
              <w:t xml:space="preserve">in the </w:t>
            </w:r>
            <w:r w:rsidR="006930DB" w:rsidRPr="00620914">
              <w:rPr>
                <w:rFonts w:ascii="Arial" w:eastAsia="Times New Roman" w:hAnsi="Arial" w:cs="Arial"/>
                <w:sz w:val="22"/>
                <w:szCs w:val="22"/>
                <w:lang w:eastAsia="en-GB"/>
              </w:rPr>
              <w:t>Local Plan</w:t>
            </w:r>
          </w:p>
        </w:tc>
        <w:tc>
          <w:tcPr>
            <w:tcW w:w="1007" w:type="dxa"/>
            <w:tcBorders>
              <w:top w:val="nil"/>
              <w:left w:val="nil"/>
              <w:bottom w:val="single" w:sz="8" w:space="0" w:color="auto"/>
              <w:right w:val="single" w:sz="8" w:space="0" w:color="auto"/>
            </w:tcBorders>
            <w:shd w:val="clear" w:color="auto" w:fill="auto"/>
            <w:vAlign w:val="center"/>
            <w:hideMark/>
          </w:tcPr>
          <w:p w14:paraId="1C38DD15"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07" w:type="dxa"/>
            <w:tcBorders>
              <w:top w:val="nil"/>
              <w:left w:val="nil"/>
              <w:bottom w:val="single" w:sz="8" w:space="0" w:color="auto"/>
              <w:right w:val="single" w:sz="8" w:space="0" w:color="auto"/>
            </w:tcBorders>
            <w:shd w:val="clear" w:color="auto" w:fill="auto"/>
            <w:vAlign w:val="center"/>
            <w:hideMark/>
          </w:tcPr>
          <w:p w14:paraId="4C863DD4"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07" w:type="dxa"/>
            <w:tcBorders>
              <w:top w:val="nil"/>
              <w:left w:val="nil"/>
              <w:bottom w:val="single" w:sz="8" w:space="0" w:color="auto"/>
              <w:right w:val="single" w:sz="8" w:space="0" w:color="auto"/>
            </w:tcBorders>
            <w:shd w:val="clear" w:color="auto" w:fill="auto"/>
            <w:vAlign w:val="center"/>
            <w:hideMark/>
          </w:tcPr>
          <w:p w14:paraId="54FEC7A1"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93</w:t>
            </w:r>
          </w:p>
        </w:tc>
        <w:tc>
          <w:tcPr>
            <w:tcW w:w="1007" w:type="dxa"/>
            <w:tcBorders>
              <w:top w:val="nil"/>
              <w:left w:val="nil"/>
              <w:bottom w:val="single" w:sz="8" w:space="0" w:color="auto"/>
              <w:right w:val="single" w:sz="8" w:space="0" w:color="auto"/>
            </w:tcBorders>
            <w:shd w:val="clear" w:color="auto" w:fill="auto"/>
            <w:vAlign w:val="center"/>
            <w:hideMark/>
          </w:tcPr>
          <w:p w14:paraId="4D3D4E9E"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171</w:t>
            </w:r>
          </w:p>
        </w:tc>
        <w:tc>
          <w:tcPr>
            <w:tcW w:w="1007" w:type="dxa"/>
            <w:tcBorders>
              <w:top w:val="nil"/>
              <w:left w:val="nil"/>
              <w:bottom w:val="single" w:sz="8" w:space="0" w:color="auto"/>
              <w:right w:val="single" w:sz="8" w:space="0" w:color="auto"/>
            </w:tcBorders>
            <w:shd w:val="clear" w:color="auto" w:fill="auto"/>
            <w:vAlign w:val="center"/>
            <w:hideMark/>
          </w:tcPr>
          <w:p w14:paraId="43FDE927"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675</w:t>
            </w:r>
          </w:p>
        </w:tc>
        <w:tc>
          <w:tcPr>
            <w:tcW w:w="1193" w:type="dxa"/>
            <w:tcBorders>
              <w:top w:val="nil"/>
              <w:left w:val="nil"/>
              <w:bottom w:val="single" w:sz="8" w:space="0" w:color="auto"/>
              <w:right w:val="single" w:sz="8" w:space="0" w:color="auto"/>
            </w:tcBorders>
            <w:shd w:val="clear" w:color="auto" w:fill="auto"/>
            <w:vAlign w:val="center"/>
            <w:hideMark/>
          </w:tcPr>
          <w:p w14:paraId="7EE64A44"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939</w:t>
            </w:r>
          </w:p>
        </w:tc>
      </w:tr>
      <w:tr w:rsidR="00C823E0" w:rsidRPr="00620914" w14:paraId="08E037D6" w14:textId="77777777" w:rsidTr="00017F2C">
        <w:trPr>
          <w:trHeight w:val="156"/>
        </w:trPr>
        <w:tc>
          <w:tcPr>
            <w:tcW w:w="2906" w:type="dxa"/>
            <w:tcBorders>
              <w:top w:val="nil"/>
              <w:left w:val="single" w:sz="8" w:space="0" w:color="auto"/>
              <w:bottom w:val="single" w:sz="8" w:space="0" w:color="auto"/>
              <w:right w:val="single" w:sz="8" w:space="0" w:color="auto"/>
            </w:tcBorders>
            <w:shd w:val="clear" w:color="auto" w:fill="auto"/>
            <w:vAlign w:val="center"/>
            <w:hideMark/>
          </w:tcPr>
          <w:p w14:paraId="40A70608" w14:textId="776B2956" w:rsidR="00CC56DA" w:rsidRPr="00620914" w:rsidRDefault="00CC56DA"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Small sites with </w:t>
            </w:r>
            <w:r w:rsidR="006930DB" w:rsidRPr="00620914">
              <w:rPr>
                <w:rFonts w:ascii="Arial" w:eastAsia="Times New Roman" w:hAnsi="Arial" w:cs="Arial"/>
                <w:sz w:val="22"/>
                <w:szCs w:val="22"/>
                <w:lang w:eastAsia="en-GB"/>
              </w:rPr>
              <w:t>planning</w:t>
            </w:r>
            <w:r w:rsidRPr="00620914">
              <w:rPr>
                <w:rFonts w:ascii="Arial" w:eastAsia="Times New Roman" w:hAnsi="Arial" w:cs="Arial"/>
                <w:sz w:val="22"/>
                <w:szCs w:val="22"/>
                <w:lang w:eastAsia="en-GB"/>
              </w:rPr>
              <w:t xml:space="preserve"> permission</w:t>
            </w:r>
          </w:p>
        </w:tc>
        <w:tc>
          <w:tcPr>
            <w:tcW w:w="1007" w:type="dxa"/>
            <w:tcBorders>
              <w:top w:val="nil"/>
              <w:left w:val="nil"/>
              <w:bottom w:val="single" w:sz="8" w:space="0" w:color="auto"/>
              <w:right w:val="single" w:sz="8" w:space="0" w:color="auto"/>
            </w:tcBorders>
            <w:shd w:val="clear" w:color="auto" w:fill="auto"/>
            <w:vAlign w:val="center"/>
            <w:hideMark/>
          </w:tcPr>
          <w:p w14:paraId="629F3C2B"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135</w:t>
            </w:r>
          </w:p>
        </w:tc>
        <w:tc>
          <w:tcPr>
            <w:tcW w:w="1007" w:type="dxa"/>
            <w:tcBorders>
              <w:top w:val="nil"/>
              <w:left w:val="nil"/>
              <w:bottom w:val="single" w:sz="8" w:space="0" w:color="auto"/>
              <w:right w:val="single" w:sz="8" w:space="0" w:color="auto"/>
            </w:tcBorders>
            <w:shd w:val="clear" w:color="auto" w:fill="auto"/>
            <w:vAlign w:val="center"/>
            <w:hideMark/>
          </w:tcPr>
          <w:p w14:paraId="11D4209B"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134</w:t>
            </w:r>
          </w:p>
        </w:tc>
        <w:tc>
          <w:tcPr>
            <w:tcW w:w="1007" w:type="dxa"/>
            <w:tcBorders>
              <w:top w:val="nil"/>
              <w:left w:val="nil"/>
              <w:bottom w:val="single" w:sz="8" w:space="0" w:color="auto"/>
              <w:right w:val="single" w:sz="8" w:space="0" w:color="auto"/>
            </w:tcBorders>
            <w:shd w:val="clear" w:color="auto" w:fill="auto"/>
            <w:vAlign w:val="center"/>
            <w:hideMark/>
          </w:tcPr>
          <w:p w14:paraId="11F38BC4"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134</w:t>
            </w:r>
          </w:p>
        </w:tc>
        <w:tc>
          <w:tcPr>
            <w:tcW w:w="1007" w:type="dxa"/>
            <w:tcBorders>
              <w:top w:val="nil"/>
              <w:left w:val="nil"/>
              <w:bottom w:val="single" w:sz="8" w:space="0" w:color="auto"/>
              <w:right w:val="single" w:sz="8" w:space="0" w:color="auto"/>
            </w:tcBorders>
            <w:shd w:val="clear" w:color="auto" w:fill="auto"/>
            <w:vAlign w:val="center"/>
            <w:hideMark/>
          </w:tcPr>
          <w:p w14:paraId="47458D2F"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07" w:type="dxa"/>
            <w:tcBorders>
              <w:top w:val="nil"/>
              <w:left w:val="nil"/>
              <w:bottom w:val="single" w:sz="8" w:space="0" w:color="auto"/>
              <w:right w:val="single" w:sz="8" w:space="0" w:color="auto"/>
            </w:tcBorders>
            <w:shd w:val="clear" w:color="auto" w:fill="auto"/>
            <w:vAlign w:val="center"/>
            <w:hideMark/>
          </w:tcPr>
          <w:p w14:paraId="524619A4"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193" w:type="dxa"/>
            <w:tcBorders>
              <w:top w:val="nil"/>
              <w:left w:val="nil"/>
              <w:bottom w:val="single" w:sz="8" w:space="0" w:color="auto"/>
              <w:right w:val="single" w:sz="8" w:space="0" w:color="auto"/>
            </w:tcBorders>
            <w:shd w:val="clear" w:color="auto" w:fill="auto"/>
            <w:vAlign w:val="center"/>
            <w:hideMark/>
          </w:tcPr>
          <w:p w14:paraId="6652930D"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403</w:t>
            </w:r>
          </w:p>
        </w:tc>
      </w:tr>
      <w:tr w:rsidR="00C823E0" w:rsidRPr="00620914" w14:paraId="78519C34" w14:textId="77777777" w:rsidTr="00017F2C">
        <w:trPr>
          <w:trHeight w:val="23"/>
        </w:trPr>
        <w:tc>
          <w:tcPr>
            <w:tcW w:w="2906" w:type="dxa"/>
            <w:tcBorders>
              <w:top w:val="nil"/>
              <w:left w:val="single" w:sz="8" w:space="0" w:color="auto"/>
              <w:bottom w:val="single" w:sz="8" w:space="0" w:color="auto"/>
              <w:right w:val="single" w:sz="8" w:space="0" w:color="auto"/>
            </w:tcBorders>
            <w:shd w:val="clear" w:color="auto" w:fill="auto"/>
            <w:vAlign w:val="center"/>
            <w:hideMark/>
          </w:tcPr>
          <w:p w14:paraId="1CCAC59E" w14:textId="3D5E3F1F" w:rsidR="00CC56DA" w:rsidRPr="00620914" w:rsidRDefault="00CC56DA" w:rsidP="00EF31E2">
            <w:pPr>
              <w:spacing w:after="0" w:line="240" w:lineRule="auto"/>
              <w:rPr>
                <w:rFonts w:ascii="Arial" w:eastAsia="Times New Roman" w:hAnsi="Arial" w:cs="Arial"/>
                <w:sz w:val="22"/>
                <w:szCs w:val="22"/>
                <w:lang w:eastAsia="en-GB"/>
              </w:rPr>
            </w:pPr>
            <w:r w:rsidRPr="00620914">
              <w:rPr>
                <w:rFonts w:ascii="Arial" w:eastAsia="Times New Roman" w:hAnsi="Arial" w:cs="Arial"/>
                <w:sz w:val="22"/>
                <w:szCs w:val="22"/>
                <w:lang w:eastAsia="en-GB"/>
              </w:rPr>
              <w:t xml:space="preserve">All </w:t>
            </w:r>
            <w:r w:rsidR="006930DB" w:rsidRPr="00620914">
              <w:rPr>
                <w:rFonts w:ascii="Arial" w:eastAsia="Times New Roman" w:hAnsi="Arial" w:cs="Arial"/>
                <w:sz w:val="22"/>
                <w:szCs w:val="22"/>
                <w:lang w:eastAsia="en-GB"/>
              </w:rPr>
              <w:t>w</w:t>
            </w:r>
            <w:r w:rsidRPr="00620914">
              <w:rPr>
                <w:rFonts w:ascii="Arial" w:eastAsia="Times New Roman" w:hAnsi="Arial" w:cs="Arial"/>
                <w:sz w:val="22"/>
                <w:szCs w:val="22"/>
                <w:lang w:eastAsia="en-GB"/>
              </w:rPr>
              <w:t>indfalls</w:t>
            </w:r>
            <w:r w:rsidR="00533B58" w:rsidRPr="00620914">
              <w:rPr>
                <w:rFonts w:ascii="Arial" w:eastAsia="Times New Roman" w:hAnsi="Arial" w:cs="Arial"/>
                <w:sz w:val="22"/>
                <w:szCs w:val="22"/>
                <w:lang w:eastAsia="en-GB"/>
              </w:rPr>
              <w:t xml:space="preserve"> (</w:t>
            </w:r>
            <w:r w:rsidR="006930DB" w:rsidRPr="00620914">
              <w:rPr>
                <w:rFonts w:ascii="Arial" w:eastAsia="Times New Roman" w:hAnsi="Arial" w:cs="Arial"/>
                <w:sz w:val="22"/>
                <w:szCs w:val="22"/>
                <w:lang w:eastAsia="en-GB"/>
              </w:rPr>
              <w:t>years 4 &amp; 5</w:t>
            </w:r>
            <w:r w:rsidR="00533B58" w:rsidRPr="00620914">
              <w:rPr>
                <w:rFonts w:ascii="Arial" w:eastAsia="Times New Roman" w:hAnsi="Arial" w:cs="Arial"/>
                <w:sz w:val="22"/>
                <w:szCs w:val="22"/>
                <w:lang w:eastAsia="en-GB"/>
              </w:rPr>
              <w:t xml:space="preserve"> only)</w:t>
            </w:r>
          </w:p>
        </w:tc>
        <w:tc>
          <w:tcPr>
            <w:tcW w:w="1007" w:type="dxa"/>
            <w:tcBorders>
              <w:top w:val="nil"/>
              <w:left w:val="nil"/>
              <w:bottom w:val="single" w:sz="8" w:space="0" w:color="auto"/>
              <w:right w:val="single" w:sz="8" w:space="0" w:color="auto"/>
            </w:tcBorders>
            <w:shd w:val="clear" w:color="auto" w:fill="auto"/>
            <w:vAlign w:val="center"/>
            <w:hideMark/>
          </w:tcPr>
          <w:p w14:paraId="2A0BECB5"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07" w:type="dxa"/>
            <w:tcBorders>
              <w:top w:val="nil"/>
              <w:left w:val="nil"/>
              <w:bottom w:val="single" w:sz="8" w:space="0" w:color="auto"/>
              <w:right w:val="single" w:sz="8" w:space="0" w:color="auto"/>
            </w:tcBorders>
            <w:shd w:val="clear" w:color="auto" w:fill="auto"/>
            <w:vAlign w:val="center"/>
            <w:hideMark/>
          </w:tcPr>
          <w:p w14:paraId="268498F9"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07" w:type="dxa"/>
            <w:tcBorders>
              <w:top w:val="nil"/>
              <w:left w:val="nil"/>
              <w:bottom w:val="single" w:sz="8" w:space="0" w:color="auto"/>
              <w:right w:val="single" w:sz="8" w:space="0" w:color="auto"/>
            </w:tcBorders>
            <w:shd w:val="clear" w:color="auto" w:fill="auto"/>
            <w:vAlign w:val="center"/>
            <w:hideMark/>
          </w:tcPr>
          <w:p w14:paraId="47ED4B4B"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0</w:t>
            </w:r>
          </w:p>
        </w:tc>
        <w:tc>
          <w:tcPr>
            <w:tcW w:w="1007" w:type="dxa"/>
            <w:tcBorders>
              <w:top w:val="nil"/>
              <w:left w:val="nil"/>
              <w:bottom w:val="single" w:sz="8" w:space="0" w:color="auto"/>
              <w:right w:val="single" w:sz="8" w:space="0" w:color="auto"/>
            </w:tcBorders>
            <w:shd w:val="clear" w:color="auto" w:fill="auto"/>
            <w:vAlign w:val="center"/>
            <w:hideMark/>
          </w:tcPr>
          <w:p w14:paraId="756E56FB"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260</w:t>
            </w:r>
          </w:p>
        </w:tc>
        <w:tc>
          <w:tcPr>
            <w:tcW w:w="1007" w:type="dxa"/>
            <w:tcBorders>
              <w:top w:val="nil"/>
              <w:left w:val="nil"/>
              <w:bottom w:val="single" w:sz="8" w:space="0" w:color="auto"/>
              <w:right w:val="single" w:sz="8" w:space="0" w:color="auto"/>
            </w:tcBorders>
            <w:shd w:val="clear" w:color="auto" w:fill="auto"/>
            <w:vAlign w:val="center"/>
            <w:hideMark/>
          </w:tcPr>
          <w:p w14:paraId="250BDA1D"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260</w:t>
            </w:r>
          </w:p>
        </w:tc>
        <w:tc>
          <w:tcPr>
            <w:tcW w:w="1193" w:type="dxa"/>
            <w:tcBorders>
              <w:top w:val="nil"/>
              <w:left w:val="nil"/>
              <w:bottom w:val="single" w:sz="8" w:space="0" w:color="auto"/>
              <w:right w:val="single" w:sz="8" w:space="0" w:color="auto"/>
            </w:tcBorders>
            <w:shd w:val="clear" w:color="auto" w:fill="auto"/>
            <w:vAlign w:val="center"/>
            <w:hideMark/>
          </w:tcPr>
          <w:p w14:paraId="52BB58FC" w14:textId="77777777" w:rsidR="00CC56DA" w:rsidRPr="00620914" w:rsidRDefault="00CC56DA" w:rsidP="00017F2C">
            <w:pPr>
              <w:spacing w:after="0" w:line="240" w:lineRule="auto"/>
              <w:jc w:val="right"/>
              <w:rPr>
                <w:rFonts w:ascii="Arial" w:eastAsia="Times New Roman" w:hAnsi="Arial" w:cs="Arial"/>
                <w:sz w:val="22"/>
                <w:szCs w:val="22"/>
                <w:lang w:eastAsia="en-GB"/>
              </w:rPr>
            </w:pPr>
            <w:r w:rsidRPr="00620914">
              <w:rPr>
                <w:rFonts w:ascii="Arial" w:eastAsia="Times New Roman" w:hAnsi="Arial" w:cs="Arial"/>
                <w:sz w:val="22"/>
                <w:szCs w:val="22"/>
                <w:lang w:eastAsia="en-GB"/>
              </w:rPr>
              <w:t>520</w:t>
            </w:r>
          </w:p>
        </w:tc>
      </w:tr>
      <w:tr w:rsidR="00C823E0" w:rsidRPr="00620914" w14:paraId="4850F26D" w14:textId="77777777" w:rsidTr="00017F2C">
        <w:trPr>
          <w:trHeight w:val="23"/>
        </w:trPr>
        <w:tc>
          <w:tcPr>
            <w:tcW w:w="2906" w:type="dxa"/>
            <w:tcBorders>
              <w:top w:val="nil"/>
              <w:left w:val="single" w:sz="8" w:space="0" w:color="auto"/>
              <w:bottom w:val="single" w:sz="8" w:space="0" w:color="auto"/>
              <w:right w:val="single" w:sz="8" w:space="0" w:color="auto"/>
            </w:tcBorders>
            <w:shd w:val="clear" w:color="auto" w:fill="auto"/>
            <w:vAlign w:val="center"/>
            <w:hideMark/>
          </w:tcPr>
          <w:p w14:paraId="6DE25CDE" w14:textId="77777777" w:rsidR="00CC56DA" w:rsidRPr="00620914" w:rsidRDefault="00CC56DA" w:rsidP="00EF31E2">
            <w:pPr>
              <w:spacing w:after="0" w:line="240" w:lineRule="auto"/>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Overall Total Supply</w:t>
            </w:r>
          </w:p>
        </w:tc>
        <w:tc>
          <w:tcPr>
            <w:tcW w:w="1007" w:type="dxa"/>
            <w:tcBorders>
              <w:top w:val="nil"/>
              <w:left w:val="nil"/>
              <w:bottom w:val="single" w:sz="8" w:space="0" w:color="auto"/>
              <w:right w:val="single" w:sz="8" w:space="0" w:color="auto"/>
            </w:tcBorders>
            <w:shd w:val="clear" w:color="auto" w:fill="auto"/>
            <w:vAlign w:val="center"/>
            <w:hideMark/>
          </w:tcPr>
          <w:p w14:paraId="201192BB" w14:textId="77777777" w:rsidR="00CC56DA" w:rsidRPr="00620914" w:rsidRDefault="00CC56DA"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930</w:t>
            </w:r>
          </w:p>
        </w:tc>
        <w:tc>
          <w:tcPr>
            <w:tcW w:w="1007" w:type="dxa"/>
            <w:tcBorders>
              <w:top w:val="nil"/>
              <w:left w:val="nil"/>
              <w:bottom w:val="single" w:sz="8" w:space="0" w:color="auto"/>
              <w:right w:val="single" w:sz="8" w:space="0" w:color="auto"/>
            </w:tcBorders>
            <w:shd w:val="clear" w:color="auto" w:fill="auto"/>
            <w:vAlign w:val="center"/>
            <w:hideMark/>
          </w:tcPr>
          <w:p w14:paraId="5D36E0EE" w14:textId="77777777" w:rsidR="00CC56DA" w:rsidRPr="00620914" w:rsidRDefault="00CC56DA"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825</w:t>
            </w:r>
          </w:p>
        </w:tc>
        <w:tc>
          <w:tcPr>
            <w:tcW w:w="1007" w:type="dxa"/>
            <w:tcBorders>
              <w:top w:val="nil"/>
              <w:left w:val="nil"/>
              <w:bottom w:val="single" w:sz="8" w:space="0" w:color="auto"/>
              <w:right w:val="single" w:sz="8" w:space="0" w:color="auto"/>
            </w:tcBorders>
            <w:shd w:val="clear" w:color="auto" w:fill="auto"/>
            <w:vAlign w:val="center"/>
            <w:hideMark/>
          </w:tcPr>
          <w:p w14:paraId="1D5FF1DD" w14:textId="77777777" w:rsidR="00CC56DA" w:rsidRPr="00620914" w:rsidRDefault="00CC56DA"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888</w:t>
            </w:r>
          </w:p>
        </w:tc>
        <w:tc>
          <w:tcPr>
            <w:tcW w:w="1007" w:type="dxa"/>
            <w:tcBorders>
              <w:top w:val="nil"/>
              <w:left w:val="nil"/>
              <w:bottom w:val="single" w:sz="8" w:space="0" w:color="auto"/>
              <w:right w:val="single" w:sz="8" w:space="0" w:color="auto"/>
            </w:tcBorders>
            <w:shd w:val="clear" w:color="auto" w:fill="auto"/>
            <w:vAlign w:val="center"/>
            <w:hideMark/>
          </w:tcPr>
          <w:p w14:paraId="04CE783E" w14:textId="77777777" w:rsidR="00CC56DA" w:rsidRPr="00620914" w:rsidRDefault="00CC56DA"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741</w:t>
            </w:r>
          </w:p>
        </w:tc>
        <w:tc>
          <w:tcPr>
            <w:tcW w:w="1007" w:type="dxa"/>
            <w:tcBorders>
              <w:top w:val="nil"/>
              <w:left w:val="nil"/>
              <w:bottom w:val="single" w:sz="8" w:space="0" w:color="auto"/>
              <w:right w:val="single" w:sz="8" w:space="0" w:color="auto"/>
            </w:tcBorders>
            <w:shd w:val="clear" w:color="auto" w:fill="auto"/>
            <w:vAlign w:val="center"/>
            <w:hideMark/>
          </w:tcPr>
          <w:p w14:paraId="7FE7848A" w14:textId="3B792FD6" w:rsidR="00CC56DA" w:rsidRPr="00620914" w:rsidRDefault="00CC56DA"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1</w:t>
            </w:r>
            <w:r w:rsidR="00017F2C" w:rsidRPr="00620914">
              <w:rPr>
                <w:rFonts w:ascii="Arial" w:eastAsia="Times New Roman" w:hAnsi="Arial" w:cs="Arial"/>
                <w:b/>
                <w:bCs/>
                <w:sz w:val="22"/>
                <w:szCs w:val="22"/>
                <w:lang w:eastAsia="en-GB"/>
              </w:rPr>
              <w:t>,</w:t>
            </w:r>
            <w:r w:rsidRPr="00620914">
              <w:rPr>
                <w:rFonts w:ascii="Arial" w:eastAsia="Times New Roman" w:hAnsi="Arial" w:cs="Arial"/>
                <w:b/>
                <w:bCs/>
                <w:sz w:val="22"/>
                <w:szCs w:val="22"/>
                <w:lang w:eastAsia="en-GB"/>
              </w:rPr>
              <w:t>244</w:t>
            </w:r>
          </w:p>
        </w:tc>
        <w:tc>
          <w:tcPr>
            <w:tcW w:w="1193" w:type="dxa"/>
            <w:tcBorders>
              <w:top w:val="nil"/>
              <w:left w:val="nil"/>
              <w:bottom w:val="single" w:sz="8" w:space="0" w:color="auto"/>
              <w:right w:val="single" w:sz="8" w:space="0" w:color="auto"/>
            </w:tcBorders>
            <w:shd w:val="clear" w:color="auto" w:fill="auto"/>
            <w:vAlign w:val="center"/>
            <w:hideMark/>
          </w:tcPr>
          <w:p w14:paraId="6FD48DCD" w14:textId="4A410567" w:rsidR="00CC56DA" w:rsidRPr="00620914" w:rsidRDefault="00CC56DA" w:rsidP="00017F2C">
            <w:pPr>
              <w:spacing w:after="0" w:line="240" w:lineRule="auto"/>
              <w:jc w:val="right"/>
              <w:rPr>
                <w:rFonts w:ascii="Arial" w:eastAsia="Times New Roman" w:hAnsi="Arial" w:cs="Arial"/>
                <w:b/>
                <w:bCs/>
                <w:sz w:val="22"/>
                <w:szCs w:val="22"/>
                <w:lang w:eastAsia="en-GB"/>
              </w:rPr>
            </w:pPr>
            <w:r w:rsidRPr="00620914">
              <w:rPr>
                <w:rFonts w:ascii="Arial" w:eastAsia="Times New Roman" w:hAnsi="Arial" w:cs="Arial"/>
                <w:b/>
                <w:bCs/>
                <w:sz w:val="22"/>
                <w:szCs w:val="22"/>
                <w:lang w:eastAsia="en-GB"/>
              </w:rPr>
              <w:t>5</w:t>
            </w:r>
            <w:r w:rsidR="00017F2C" w:rsidRPr="00620914">
              <w:rPr>
                <w:rFonts w:ascii="Arial" w:eastAsia="Times New Roman" w:hAnsi="Arial" w:cs="Arial"/>
                <w:b/>
                <w:bCs/>
                <w:sz w:val="22"/>
                <w:szCs w:val="22"/>
                <w:lang w:eastAsia="en-GB"/>
              </w:rPr>
              <w:t>,</w:t>
            </w:r>
            <w:r w:rsidRPr="00620914">
              <w:rPr>
                <w:rFonts w:ascii="Arial" w:eastAsia="Times New Roman" w:hAnsi="Arial" w:cs="Arial"/>
                <w:b/>
                <w:bCs/>
                <w:sz w:val="22"/>
                <w:szCs w:val="22"/>
                <w:lang w:eastAsia="en-GB"/>
              </w:rPr>
              <w:t>148</w:t>
            </w:r>
          </w:p>
        </w:tc>
      </w:tr>
    </w:tbl>
    <w:p w14:paraId="15455D44" w14:textId="77777777" w:rsidR="00CA42DB" w:rsidRPr="00C823E0" w:rsidRDefault="00CA42DB" w:rsidP="00CF5E27">
      <w:pPr>
        <w:rPr>
          <w:rFonts w:ascii="Aptos" w:hAnsi="Aptos"/>
          <w:sz w:val="22"/>
          <w:szCs w:val="22"/>
        </w:rPr>
      </w:pPr>
    </w:p>
    <w:p w14:paraId="0EA30DB3" w14:textId="6F8D1FA1" w:rsidR="008054F0" w:rsidRPr="00A371FA" w:rsidRDefault="008054F0" w:rsidP="00A43BC4">
      <w:pPr>
        <w:keepNext/>
        <w:rPr>
          <w:rFonts w:ascii="Arial" w:hAnsi="Arial" w:cs="Arial"/>
          <w:b/>
          <w:bCs/>
          <w:sz w:val="28"/>
          <w:szCs w:val="28"/>
        </w:rPr>
      </w:pPr>
      <w:r w:rsidRPr="00A371FA">
        <w:rPr>
          <w:rFonts w:ascii="Arial" w:hAnsi="Arial" w:cs="Arial"/>
          <w:b/>
          <w:bCs/>
          <w:sz w:val="28"/>
          <w:szCs w:val="28"/>
        </w:rPr>
        <w:lastRenderedPageBreak/>
        <w:t xml:space="preserve">4. Conclusion </w:t>
      </w:r>
    </w:p>
    <w:p w14:paraId="5FF0A002" w14:textId="4B139049" w:rsidR="008054F0" w:rsidRDefault="008054F0" w:rsidP="00CF5E27">
      <w:pPr>
        <w:rPr>
          <w:rFonts w:ascii="Arial" w:hAnsi="Arial" w:cs="Arial"/>
          <w:sz w:val="24"/>
          <w:szCs w:val="24"/>
        </w:rPr>
      </w:pPr>
      <w:r w:rsidRPr="00A56139">
        <w:rPr>
          <w:rFonts w:ascii="Arial" w:hAnsi="Arial" w:cs="Arial"/>
          <w:sz w:val="24"/>
          <w:szCs w:val="24"/>
        </w:rPr>
        <w:t>4.</w:t>
      </w:r>
      <w:r w:rsidR="00F95F57" w:rsidRPr="00A56139">
        <w:rPr>
          <w:rFonts w:ascii="Arial" w:hAnsi="Arial" w:cs="Arial"/>
          <w:sz w:val="24"/>
          <w:szCs w:val="24"/>
        </w:rPr>
        <w:t>1</w:t>
      </w:r>
      <w:r w:rsidRPr="00A56139">
        <w:rPr>
          <w:rFonts w:ascii="Arial" w:hAnsi="Arial" w:cs="Arial"/>
          <w:sz w:val="24"/>
          <w:szCs w:val="24"/>
        </w:rPr>
        <w:t xml:space="preserve"> </w:t>
      </w:r>
      <w:r w:rsidR="006B4D3D" w:rsidRPr="00A56139">
        <w:rPr>
          <w:rFonts w:ascii="Arial" w:hAnsi="Arial" w:cs="Arial"/>
          <w:sz w:val="24"/>
          <w:szCs w:val="24"/>
        </w:rPr>
        <w:t>The Council</w:t>
      </w:r>
      <w:r w:rsidRPr="00A56139">
        <w:rPr>
          <w:rFonts w:ascii="Arial" w:hAnsi="Arial" w:cs="Arial"/>
          <w:sz w:val="24"/>
          <w:szCs w:val="24"/>
        </w:rPr>
        <w:t xml:space="preserve"> will continue to monitor delivery of sites with planning permission and will continue to engage with developers and landowners who have gained, or are seeking to gain, planning permission. </w:t>
      </w:r>
      <w:r w:rsidR="002744E5" w:rsidRPr="00A56139">
        <w:rPr>
          <w:rFonts w:ascii="Arial" w:hAnsi="Arial" w:cs="Arial"/>
          <w:sz w:val="24"/>
          <w:szCs w:val="24"/>
        </w:rPr>
        <w:t xml:space="preserve">The Council acknowledges its current </w:t>
      </w:r>
      <w:r w:rsidR="002744E5" w:rsidRPr="00A371FA">
        <w:rPr>
          <w:rFonts w:ascii="Arial" w:hAnsi="Arial" w:cs="Arial"/>
          <w:sz w:val="24"/>
          <w:szCs w:val="24"/>
        </w:rPr>
        <w:t xml:space="preserve">position </w:t>
      </w:r>
      <w:r w:rsidR="00BF2BF4" w:rsidRPr="00A371FA">
        <w:rPr>
          <w:rFonts w:ascii="Arial" w:hAnsi="Arial" w:cs="Arial"/>
          <w:sz w:val="24"/>
          <w:szCs w:val="24"/>
        </w:rPr>
        <w:t xml:space="preserve">of </w:t>
      </w:r>
      <w:r w:rsidR="004E54AF" w:rsidRPr="00A371FA">
        <w:rPr>
          <w:rFonts w:ascii="Arial" w:hAnsi="Arial" w:cs="Arial"/>
          <w:sz w:val="24"/>
          <w:szCs w:val="24"/>
        </w:rPr>
        <w:t xml:space="preserve">having </w:t>
      </w:r>
      <w:r w:rsidR="00F07AFD" w:rsidRPr="00A371FA">
        <w:rPr>
          <w:rFonts w:ascii="Arial" w:hAnsi="Arial" w:cs="Arial"/>
          <w:sz w:val="24"/>
          <w:szCs w:val="24"/>
        </w:rPr>
        <w:t xml:space="preserve">a </w:t>
      </w:r>
      <w:proofErr w:type="gramStart"/>
      <w:r w:rsidR="004E54AF" w:rsidRPr="00A371FA">
        <w:rPr>
          <w:rFonts w:ascii="Arial" w:hAnsi="Arial" w:cs="Arial"/>
          <w:b/>
          <w:bCs/>
          <w:sz w:val="24"/>
          <w:szCs w:val="24"/>
        </w:rPr>
        <w:t>4.41</w:t>
      </w:r>
      <w:r w:rsidR="002744E5" w:rsidRPr="00A371FA">
        <w:rPr>
          <w:rFonts w:ascii="Arial" w:hAnsi="Arial" w:cs="Arial"/>
          <w:b/>
          <w:bCs/>
          <w:sz w:val="24"/>
          <w:szCs w:val="24"/>
        </w:rPr>
        <w:t xml:space="preserve"> year</w:t>
      </w:r>
      <w:proofErr w:type="gramEnd"/>
      <w:r w:rsidR="002744E5" w:rsidRPr="00A371FA">
        <w:rPr>
          <w:rFonts w:ascii="Arial" w:hAnsi="Arial" w:cs="Arial"/>
          <w:b/>
          <w:bCs/>
          <w:sz w:val="24"/>
          <w:szCs w:val="24"/>
        </w:rPr>
        <w:t xml:space="preserve"> supply</w:t>
      </w:r>
      <w:r w:rsidR="002744E5" w:rsidRPr="00A371FA">
        <w:rPr>
          <w:rFonts w:ascii="Arial" w:hAnsi="Arial" w:cs="Arial"/>
          <w:sz w:val="24"/>
          <w:szCs w:val="24"/>
        </w:rPr>
        <w:t xml:space="preserve"> of deliverable </w:t>
      </w:r>
      <w:r w:rsidR="00AD0F8B" w:rsidRPr="00A371FA">
        <w:rPr>
          <w:rFonts w:ascii="Arial" w:hAnsi="Arial" w:cs="Arial"/>
          <w:sz w:val="24"/>
          <w:szCs w:val="24"/>
        </w:rPr>
        <w:t xml:space="preserve">housing </w:t>
      </w:r>
      <w:r w:rsidR="002744E5" w:rsidRPr="00A371FA">
        <w:rPr>
          <w:rFonts w:ascii="Arial" w:hAnsi="Arial" w:cs="Arial"/>
          <w:sz w:val="24"/>
          <w:szCs w:val="24"/>
        </w:rPr>
        <w:t>sites.</w:t>
      </w:r>
      <w:r w:rsidR="006930DB">
        <w:rPr>
          <w:rFonts w:ascii="Arial" w:hAnsi="Arial" w:cs="Arial"/>
          <w:sz w:val="24"/>
          <w:szCs w:val="24"/>
        </w:rPr>
        <w:t xml:space="preserve"> </w:t>
      </w:r>
    </w:p>
    <w:p w14:paraId="4D6705A3" w14:textId="77777777" w:rsidR="006930DB" w:rsidRPr="00A371FA" w:rsidRDefault="006930DB" w:rsidP="00CF5E27">
      <w:pPr>
        <w:rPr>
          <w:rFonts w:ascii="Arial" w:hAnsi="Arial" w:cs="Arial"/>
          <w:sz w:val="24"/>
          <w:szCs w:val="24"/>
        </w:rPr>
      </w:pPr>
    </w:p>
    <w:p w14:paraId="22CCAD0C" w14:textId="79B56F49" w:rsidR="00F07AFD" w:rsidRPr="00A371FA" w:rsidRDefault="00A371FA" w:rsidP="00A43BC4">
      <w:pPr>
        <w:keepNext/>
        <w:rPr>
          <w:rFonts w:ascii="Arial" w:hAnsi="Arial" w:cs="Arial"/>
          <w:b/>
          <w:bCs/>
          <w:sz w:val="28"/>
          <w:szCs w:val="28"/>
        </w:rPr>
      </w:pPr>
      <w:r w:rsidRPr="00A371FA">
        <w:rPr>
          <w:rFonts w:ascii="Arial" w:hAnsi="Arial" w:cs="Arial"/>
          <w:b/>
          <w:bCs/>
          <w:sz w:val="28"/>
          <w:szCs w:val="28"/>
        </w:rPr>
        <w:t>Appendices</w:t>
      </w:r>
    </w:p>
    <w:p w14:paraId="5132E0C9" w14:textId="653689BC" w:rsidR="00A371FA" w:rsidRDefault="00A371FA" w:rsidP="00CF5E27">
      <w:pPr>
        <w:rPr>
          <w:rFonts w:ascii="Arial" w:hAnsi="Arial" w:cs="Arial"/>
          <w:sz w:val="24"/>
          <w:szCs w:val="24"/>
        </w:rPr>
      </w:pPr>
      <w:r>
        <w:rPr>
          <w:rFonts w:ascii="Arial" w:hAnsi="Arial" w:cs="Arial"/>
          <w:sz w:val="24"/>
          <w:szCs w:val="24"/>
        </w:rPr>
        <w:t>Large sites under construction</w:t>
      </w:r>
    </w:p>
    <w:p w14:paraId="021E8C07" w14:textId="68B74472" w:rsidR="00A371FA" w:rsidRDefault="00A371FA" w:rsidP="00CF5E27">
      <w:pPr>
        <w:rPr>
          <w:rFonts w:ascii="Arial" w:hAnsi="Arial" w:cs="Arial"/>
          <w:sz w:val="24"/>
          <w:szCs w:val="24"/>
        </w:rPr>
      </w:pPr>
      <w:r>
        <w:rPr>
          <w:rFonts w:ascii="Arial" w:hAnsi="Arial" w:cs="Arial"/>
          <w:sz w:val="24"/>
          <w:szCs w:val="24"/>
        </w:rPr>
        <w:t>Large sites with full planning permission not started</w:t>
      </w:r>
    </w:p>
    <w:p w14:paraId="2CB02AED" w14:textId="5B1669EE" w:rsidR="00A371FA" w:rsidRDefault="00A371FA" w:rsidP="00CF5E27">
      <w:pPr>
        <w:rPr>
          <w:rFonts w:ascii="Arial" w:hAnsi="Arial" w:cs="Arial"/>
          <w:sz w:val="24"/>
          <w:szCs w:val="24"/>
        </w:rPr>
      </w:pPr>
      <w:r>
        <w:rPr>
          <w:rFonts w:ascii="Arial" w:hAnsi="Arial" w:cs="Arial"/>
          <w:sz w:val="24"/>
          <w:szCs w:val="24"/>
        </w:rPr>
        <w:t>Large sites with outline planning permission</w:t>
      </w:r>
    </w:p>
    <w:p w14:paraId="1625E3E1" w14:textId="6275C33F" w:rsidR="00A371FA" w:rsidRDefault="00A371FA" w:rsidP="00CF5E27">
      <w:pPr>
        <w:rPr>
          <w:rFonts w:ascii="Arial" w:hAnsi="Arial" w:cs="Arial"/>
          <w:sz w:val="24"/>
          <w:szCs w:val="24"/>
        </w:rPr>
      </w:pPr>
      <w:r>
        <w:rPr>
          <w:rFonts w:ascii="Arial" w:hAnsi="Arial" w:cs="Arial"/>
          <w:sz w:val="24"/>
          <w:szCs w:val="24"/>
        </w:rPr>
        <w:t>Large sites allocated in the Local Plan</w:t>
      </w:r>
    </w:p>
    <w:p w14:paraId="56D87987" w14:textId="77777777" w:rsidR="008F05B0" w:rsidRDefault="008F05B0" w:rsidP="00CF5E27">
      <w:pPr>
        <w:rPr>
          <w:rFonts w:ascii="Arial" w:hAnsi="Arial" w:cs="Arial"/>
          <w:sz w:val="24"/>
          <w:szCs w:val="24"/>
        </w:rPr>
      </w:pPr>
    </w:p>
    <w:p w14:paraId="7CE80790" w14:textId="77777777" w:rsidR="008F05B0" w:rsidRDefault="008F05B0">
      <w:pPr>
        <w:rPr>
          <w:rFonts w:ascii="Arial" w:hAnsi="Arial" w:cs="Arial"/>
          <w:sz w:val="24"/>
          <w:szCs w:val="24"/>
        </w:rPr>
      </w:pPr>
    </w:p>
    <w:p w14:paraId="156B19DE" w14:textId="77777777" w:rsidR="008F05B0" w:rsidRDefault="008F05B0">
      <w:pPr>
        <w:rPr>
          <w:rFonts w:ascii="Arial" w:hAnsi="Arial" w:cs="Arial"/>
          <w:sz w:val="24"/>
          <w:szCs w:val="24"/>
        </w:rPr>
        <w:sectPr w:rsidR="008F05B0" w:rsidSect="002C5F91">
          <w:footerReference w:type="default" r:id="rId9"/>
          <w:pgSz w:w="11906" w:h="16838"/>
          <w:pgMar w:top="1440" w:right="1440" w:bottom="1440" w:left="1440" w:header="708" w:footer="708" w:gutter="0"/>
          <w:pgNumType w:start="0"/>
          <w:cols w:space="708"/>
          <w:titlePg/>
          <w:docGrid w:linePitch="360"/>
        </w:sectPr>
      </w:pPr>
    </w:p>
    <w:p w14:paraId="3EEA6A4A" w14:textId="03E88739" w:rsidR="001F4847" w:rsidRDefault="001F4847">
      <w:r w:rsidRPr="001F4847">
        <w:rPr>
          <w:noProof/>
        </w:rPr>
        <w:lastRenderedPageBreak/>
        <w:drawing>
          <wp:inline distT="0" distB="0" distL="0" distR="0" wp14:anchorId="549E0EF8" wp14:editId="29F4F90A">
            <wp:extent cx="13680000" cy="9730286"/>
            <wp:effectExtent l="0" t="0" r="0" b="4445"/>
            <wp:docPr id="681309571" name="Picture 9" descr="Table showing large sites under construction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09571" name="Picture 9" descr="Table showing large sites under construction (p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80000" cy="9730286"/>
                    </a:xfrm>
                    <a:prstGeom prst="rect">
                      <a:avLst/>
                    </a:prstGeom>
                    <a:noFill/>
                    <a:ln>
                      <a:noFill/>
                    </a:ln>
                  </pic:spPr>
                </pic:pic>
              </a:graphicData>
            </a:graphic>
          </wp:inline>
        </w:drawing>
      </w:r>
    </w:p>
    <w:p w14:paraId="0CAB093B" w14:textId="77777777" w:rsidR="001F4847" w:rsidRDefault="001F4847">
      <w:r w:rsidRPr="001F4847">
        <w:rPr>
          <w:noProof/>
        </w:rPr>
        <w:lastRenderedPageBreak/>
        <w:drawing>
          <wp:inline distT="0" distB="0" distL="0" distR="0" wp14:anchorId="3E59B06A" wp14:editId="7D923DD3">
            <wp:extent cx="13680000" cy="7022843"/>
            <wp:effectExtent l="0" t="0" r="0" b="6985"/>
            <wp:docPr id="1607021191" name="Picture 10" descr="Table showing large sites under construction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21191" name="Picture 10" descr="Table showing large sites under construction (p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0" cy="7022843"/>
                    </a:xfrm>
                    <a:prstGeom prst="rect">
                      <a:avLst/>
                    </a:prstGeom>
                    <a:noFill/>
                    <a:ln>
                      <a:noFill/>
                    </a:ln>
                  </pic:spPr>
                </pic:pic>
              </a:graphicData>
            </a:graphic>
          </wp:inline>
        </w:drawing>
      </w:r>
      <w:r w:rsidRPr="001F4847">
        <w:t xml:space="preserve"> </w:t>
      </w:r>
    </w:p>
    <w:p w14:paraId="0B03C951" w14:textId="1F013716" w:rsidR="001F4847" w:rsidRDefault="001F4847">
      <w:r>
        <w:br w:type="page"/>
      </w:r>
    </w:p>
    <w:p w14:paraId="0B1D812E" w14:textId="77777777" w:rsidR="001F4847" w:rsidRDefault="001F4847"/>
    <w:p w14:paraId="48824EB5" w14:textId="187AA2BF" w:rsidR="00DC128D" w:rsidRPr="00DC128D" w:rsidRDefault="00983EA8">
      <w:pPr>
        <w:rPr>
          <w:rFonts w:ascii="Arial" w:hAnsi="Arial" w:cs="Arial"/>
          <w:sz w:val="24"/>
          <w:szCs w:val="24"/>
        </w:rPr>
      </w:pPr>
      <w:r w:rsidRPr="00983EA8">
        <w:rPr>
          <w:noProof/>
        </w:rPr>
        <w:drawing>
          <wp:inline distT="0" distB="0" distL="0" distR="0" wp14:anchorId="1B1067E8" wp14:editId="32B3EC71">
            <wp:extent cx="13680000" cy="2992291"/>
            <wp:effectExtent l="0" t="0" r="0" b="0"/>
            <wp:docPr id="323521394" name="Picture 11" descr="Table showing large sites with full planning permission not sta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21394" name="Picture 11" descr="Table showing large sites with full planning permission not sta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80000" cy="2992291"/>
                    </a:xfrm>
                    <a:prstGeom prst="rect">
                      <a:avLst/>
                    </a:prstGeom>
                    <a:noFill/>
                    <a:ln>
                      <a:noFill/>
                    </a:ln>
                  </pic:spPr>
                </pic:pic>
              </a:graphicData>
            </a:graphic>
          </wp:inline>
        </w:drawing>
      </w:r>
    </w:p>
    <w:p w14:paraId="2D21AF9E" w14:textId="005B1872" w:rsidR="00DC128D" w:rsidRDefault="00DC128D">
      <w:pPr>
        <w:rPr>
          <w:rFonts w:ascii="Arial" w:hAnsi="Arial" w:cs="Arial"/>
          <w:sz w:val="24"/>
          <w:szCs w:val="24"/>
        </w:rPr>
      </w:pPr>
      <w:r>
        <w:rPr>
          <w:rFonts w:ascii="Arial" w:hAnsi="Arial" w:cs="Arial"/>
          <w:sz w:val="24"/>
          <w:szCs w:val="24"/>
        </w:rPr>
        <w:br w:type="page"/>
      </w:r>
    </w:p>
    <w:p w14:paraId="41C56AF0" w14:textId="4208A445" w:rsidR="00DC128D" w:rsidRDefault="00983EA8">
      <w:pPr>
        <w:rPr>
          <w:rFonts w:ascii="Arial" w:hAnsi="Arial" w:cs="Arial"/>
          <w:sz w:val="24"/>
          <w:szCs w:val="24"/>
        </w:rPr>
      </w:pPr>
      <w:r w:rsidRPr="00983EA8">
        <w:rPr>
          <w:noProof/>
        </w:rPr>
        <w:lastRenderedPageBreak/>
        <w:drawing>
          <wp:inline distT="0" distB="0" distL="0" distR="0" wp14:anchorId="7B075B47" wp14:editId="6A8967AC">
            <wp:extent cx="13680000" cy="2302377"/>
            <wp:effectExtent l="0" t="0" r="0" b="3175"/>
            <wp:docPr id="1038925813" name="Picture 12" descr="Table showing large sites with outline planning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25813" name="Picture 12" descr="Table showing large sites with outline planning permis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80000" cy="2302377"/>
                    </a:xfrm>
                    <a:prstGeom prst="rect">
                      <a:avLst/>
                    </a:prstGeom>
                    <a:noFill/>
                    <a:ln>
                      <a:noFill/>
                    </a:ln>
                  </pic:spPr>
                </pic:pic>
              </a:graphicData>
            </a:graphic>
          </wp:inline>
        </w:drawing>
      </w:r>
    </w:p>
    <w:p w14:paraId="367DDD99" w14:textId="4DA44265" w:rsidR="00DC128D" w:rsidRDefault="00DC128D">
      <w:pPr>
        <w:rPr>
          <w:rFonts w:ascii="Arial" w:hAnsi="Arial" w:cs="Arial"/>
          <w:sz w:val="24"/>
          <w:szCs w:val="24"/>
        </w:rPr>
      </w:pPr>
      <w:r>
        <w:rPr>
          <w:rFonts w:ascii="Arial" w:hAnsi="Arial" w:cs="Arial"/>
          <w:sz w:val="24"/>
          <w:szCs w:val="24"/>
        </w:rPr>
        <w:br w:type="page"/>
      </w:r>
    </w:p>
    <w:p w14:paraId="47853C80" w14:textId="28CBB65B" w:rsidR="00A371FA" w:rsidRPr="00A371FA" w:rsidRDefault="00983EA8" w:rsidP="00CF5E27">
      <w:pPr>
        <w:rPr>
          <w:rFonts w:ascii="Arial" w:hAnsi="Arial" w:cs="Arial"/>
          <w:sz w:val="24"/>
          <w:szCs w:val="24"/>
        </w:rPr>
      </w:pPr>
      <w:r w:rsidRPr="00983EA8">
        <w:rPr>
          <w:noProof/>
        </w:rPr>
        <w:lastRenderedPageBreak/>
        <w:drawing>
          <wp:inline distT="0" distB="0" distL="0" distR="0" wp14:anchorId="07550879" wp14:editId="2251A9FF">
            <wp:extent cx="13680000" cy="9680829"/>
            <wp:effectExtent l="0" t="0" r="0" b="0"/>
            <wp:docPr id="86362583" name="Picture 13" descr="Table showing large sites allocated in the Local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2583" name="Picture 13" descr="Table showing large sites allocated in the Local Pl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80000" cy="9680829"/>
                    </a:xfrm>
                    <a:prstGeom prst="rect">
                      <a:avLst/>
                    </a:prstGeom>
                    <a:noFill/>
                    <a:ln>
                      <a:noFill/>
                    </a:ln>
                  </pic:spPr>
                </pic:pic>
              </a:graphicData>
            </a:graphic>
          </wp:inline>
        </w:drawing>
      </w:r>
    </w:p>
    <w:sectPr w:rsidR="00A371FA" w:rsidRPr="00A371FA" w:rsidSect="00DC128D">
      <w:pgSz w:w="23811" w:h="16838" w:orient="landscape" w:code="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5DED" w14:textId="77777777" w:rsidR="007147B3" w:rsidRDefault="007147B3" w:rsidP="00477C95">
      <w:pPr>
        <w:spacing w:after="0" w:line="240" w:lineRule="auto"/>
      </w:pPr>
      <w:r>
        <w:separator/>
      </w:r>
    </w:p>
  </w:endnote>
  <w:endnote w:type="continuationSeparator" w:id="0">
    <w:p w14:paraId="2243E9CD" w14:textId="77777777" w:rsidR="007147B3" w:rsidRDefault="007147B3" w:rsidP="0047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160385"/>
      <w:docPartObj>
        <w:docPartGallery w:val="Page Numbers (Bottom of Page)"/>
        <w:docPartUnique/>
      </w:docPartObj>
    </w:sdtPr>
    <w:sdtEndPr>
      <w:rPr>
        <w:noProof/>
      </w:rPr>
    </w:sdtEndPr>
    <w:sdtContent>
      <w:p w14:paraId="64CE1D45" w14:textId="5ABF4267" w:rsidR="00A400C5" w:rsidRDefault="00A400C5">
        <w:pPr>
          <w:pStyle w:val="Footer"/>
          <w:jc w:val="right"/>
        </w:pPr>
        <w:r w:rsidRPr="006F320F">
          <w:rPr>
            <w:sz w:val="22"/>
            <w:szCs w:val="22"/>
          </w:rPr>
          <w:fldChar w:fldCharType="begin"/>
        </w:r>
        <w:r w:rsidRPr="006F320F">
          <w:rPr>
            <w:sz w:val="22"/>
            <w:szCs w:val="22"/>
          </w:rPr>
          <w:instrText xml:space="preserve"> PAGE   \* MERGEFORMAT </w:instrText>
        </w:r>
        <w:r w:rsidRPr="006F320F">
          <w:rPr>
            <w:sz w:val="22"/>
            <w:szCs w:val="22"/>
          </w:rPr>
          <w:fldChar w:fldCharType="separate"/>
        </w:r>
        <w:r w:rsidRPr="006F320F">
          <w:rPr>
            <w:noProof/>
            <w:sz w:val="22"/>
            <w:szCs w:val="22"/>
          </w:rPr>
          <w:t>2</w:t>
        </w:r>
        <w:r w:rsidRPr="006F320F">
          <w:rPr>
            <w:noProof/>
            <w:sz w:val="22"/>
            <w:szCs w:val="22"/>
          </w:rPr>
          <w:fldChar w:fldCharType="end"/>
        </w:r>
      </w:p>
    </w:sdtContent>
  </w:sdt>
  <w:p w14:paraId="11B208E1" w14:textId="77777777" w:rsidR="00A400C5" w:rsidRDefault="00A40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2D84" w14:textId="77777777" w:rsidR="007147B3" w:rsidRDefault="007147B3" w:rsidP="00477C95">
      <w:pPr>
        <w:spacing w:after="0" w:line="240" w:lineRule="auto"/>
      </w:pPr>
      <w:r>
        <w:separator/>
      </w:r>
    </w:p>
  </w:footnote>
  <w:footnote w:type="continuationSeparator" w:id="0">
    <w:p w14:paraId="19BC4162" w14:textId="77777777" w:rsidR="007147B3" w:rsidRDefault="007147B3" w:rsidP="00477C95">
      <w:pPr>
        <w:spacing w:after="0" w:line="240" w:lineRule="auto"/>
      </w:pPr>
      <w:r>
        <w:continuationSeparator/>
      </w:r>
    </w:p>
  </w:footnote>
  <w:footnote w:id="1">
    <w:p w14:paraId="4B603A94" w14:textId="20A8C0D6" w:rsidR="00477C95" w:rsidRDefault="00477C95">
      <w:pPr>
        <w:pStyle w:val="FootnoteText"/>
      </w:pPr>
      <w:r>
        <w:rPr>
          <w:rStyle w:val="FootnoteReference"/>
        </w:rPr>
        <w:footnoteRef/>
      </w:r>
      <w:r>
        <w:t xml:space="preserve"> </w:t>
      </w:r>
      <w:hyperlink r:id="rId1" w:history="1">
        <w:r w:rsidRPr="00477C95">
          <w:rPr>
            <w:rStyle w:val="Hyperlink"/>
          </w:rPr>
          <w:t>https://www.gov.uk/guidance/housing-and-economic-development-needs-assessments</w:t>
        </w:r>
      </w:hyperlink>
    </w:p>
  </w:footnote>
  <w:footnote w:id="2">
    <w:p w14:paraId="5E5C14F4" w14:textId="39221143" w:rsidR="00B327A6" w:rsidRDefault="00B327A6">
      <w:pPr>
        <w:pStyle w:val="FootnoteText"/>
      </w:pPr>
      <w:r>
        <w:rPr>
          <w:rStyle w:val="FootnoteReference"/>
        </w:rPr>
        <w:footnoteRef/>
      </w:r>
      <w:r>
        <w:t xml:space="preserve"> </w:t>
      </w:r>
      <w:hyperlink r:id="rId2" w:history="1">
        <w:r w:rsidRPr="00B327A6">
          <w:rPr>
            <w:rStyle w:val="Hyperlink"/>
          </w:rPr>
          <w:t>https://www.gov.uk/government/publications/national-planning-policy-framework--2</w:t>
        </w:r>
      </w:hyperlink>
    </w:p>
  </w:footnote>
  <w:footnote w:id="3">
    <w:p w14:paraId="211F3CD2" w14:textId="4D2ED534" w:rsidR="00F9088A" w:rsidRDefault="00F9088A">
      <w:pPr>
        <w:pStyle w:val="FootnoteText"/>
      </w:pPr>
      <w:r>
        <w:rPr>
          <w:rStyle w:val="FootnoteReference"/>
        </w:rPr>
        <w:footnoteRef/>
      </w:r>
      <w:r>
        <w:t xml:space="preserve"> </w:t>
      </w:r>
      <w:hyperlink r:id="rId3" w:history="1">
        <w:r w:rsidRPr="00F9088A">
          <w:rPr>
            <w:rStyle w:val="Hyperlink"/>
          </w:rPr>
          <w:t>https://www.gov.uk/guidance/housing-and-economic-development-needs-assessments</w:t>
        </w:r>
      </w:hyperlink>
    </w:p>
  </w:footnote>
  <w:footnote w:id="4">
    <w:p w14:paraId="471396DE" w14:textId="5623E61D" w:rsidR="00C823E0" w:rsidRDefault="00C823E0">
      <w:pPr>
        <w:pStyle w:val="FootnoteText"/>
      </w:pPr>
      <w:r>
        <w:rPr>
          <w:rStyle w:val="FootnoteReference"/>
        </w:rPr>
        <w:footnoteRef/>
      </w:r>
      <w:hyperlink r:id="rId4" w:history="1">
        <w:r w:rsidRPr="00401AE3">
          <w:rPr>
            <w:rStyle w:val="Hyperlink"/>
          </w:rPr>
          <w:t>https://www.ons.gov.uk/peoplepopulationandcommunity/housing/bulletins/housingaffordabilityinenglandandwales/2024</w:t>
        </w:r>
      </w:hyperlink>
      <w:r>
        <w:t xml:space="preserve"> </w:t>
      </w:r>
    </w:p>
  </w:footnote>
  <w:footnote w:id="5">
    <w:p w14:paraId="50B9F86E" w14:textId="18CC065B" w:rsidR="0097729B" w:rsidRDefault="0097729B">
      <w:pPr>
        <w:pStyle w:val="FootnoteText"/>
      </w:pPr>
      <w:r>
        <w:rPr>
          <w:rStyle w:val="FootnoteReference"/>
        </w:rPr>
        <w:footnoteRef/>
      </w:r>
      <w:r>
        <w:t xml:space="preserve"> </w:t>
      </w:r>
      <w:hyperlink r:id="rId5" w:history="1">
        <w:r w:rsidR="00C823E0" w:rsidRPr="00C823E0">
          <w:rPr>
            <w:rStyle w:val="Hyperlink"/>
          </w:rPr>
          <w:t>https://www.gov.uk/government/publications/housing-delivery-test-measurement-rule-book</w:t>
        </w:r>
      </w:hyperlink>
    </w:p>
  </w:footnote>
  <w:footnote w:id="6">
    <w:p w14:paraId="0D1999EB" w14:textId="74E261AE" w:rsidR="00F9088A" w:rsidRDefault="00F9088A">
      <w:pPr>
        <w:pStyle w:val="FootnoteText"/>
      </w:pPr>
      <w:r>
        <w:rPr>
          <w:rStyle w:val="FootnoteReference"/>
        </w:rPr>
        <w:footnoteRef/>
      </w:r>
      <w:r>
        <w:t xml:space="preserve"> </w:t>
      </w:r>
      <w:hyperlink r:id="rId6" w:history="1">
        <w:r w:rsidRPr="00F9088A">
          <w:rPr>
            <w:rStyle w:val="Hyperlink"/>
          </w:rPr>
          <w:t>https://www.gov.uk/government/publications/housing-delivery-test-2023-measurement</w:t>
        </w:r>
      </w:hyperlink>
    </w:p>
  </w:footnote>
  <w:footnote w:id="7">
    <w:p w14:paraId="33B949EE" w14:textId="68F35AC6" w:rsidR="00E56738" w:rsidRDefault="00E56738">
      <w:pPr>
        <w:pStyle w:val="FootnoteText"/>
      </w:pPr>
      <w:r>
        <w:rPr>
          <w:rStyle w:val="FootnoteReference"/>
        </w:rPr>
        <w:footnoteRef/>
      </w:r>
      <w:r>
        <w:t xml:space="preserve"> </w:t>
      </w:r>
      <w:hyperlink r:id="rId7" w:history="1">
        <w:r w:rsidRPr="00E56738">
          <w:rPr>
            <w:rStyle w:val="Hyperlink"/>
          </w:rPr>
          <w:t>https://www.gov.uk/government/publications/national-planning-policy-framework--2</w:t>
        </w:r>
      </w:hyperlink>
    </w:p>
  </w:footnote>
  <w:footnote w:id="8">
    <w:p w14:paraId="0F5450F5" w14:textId="02DB0949" w:rsidR="00E56738" w:rsidRDefault="00E56738">
      <w:pPr>
        <w:pStyle w:val="FootnoteText"/>
      </w:pPr>
      <w:r>
        <w:rPr>
          <w:rStyle w:val="FootnoteReference"/>
        </w:rPr>
        <w:footnoteRef/>
      </w:r>
      <w:r>
        <w:t xml:space="preserve"> </w:t>
      </w:r>
      <w:hyperlink r:id="rId8" w:history="1">
        <w:r w:rsidRPr="00E56738">
          <w:rPr>
            <w:rStyle w:val="Hyperlink"/>
          </w:rPr>
          <w:t>https://www.gov.uk/guidance/housing-supply-and-delivery</w:t>
        </w:r>
      </w:hyperlink>
    </w:p>
  </w:footnote>
  <w:footnote w:id="9">
    <w:p w14:paraId="3A60F238" w14:textId="77777777" w:rsidR="00B20CA7" w:rsidRDefault="00B20CA7" w:rsidP="00B20CA7">
      <w:pPr>
        <w:pStyle w:val="FootnoteText"/>
      </w:pPr>
      <w:r>
        <w:rPr>
          <w:rStyle w:val="FootnoteReference"/>
        </w:rPr>
        <w:footnoteRef/>
      </w:r>
      <w:r>
        <w:t xml:space="preserve"> </w:t>
      </w:r>
      <w:hyperlink r:id="rId9" w:history="1">
        <w:r w:rsidRPr="00B36942">
          <w:rPr>
            <w:rStyle w:val="Hyperlink"/>
          </w:rPr>
          <w:t>https://www.rotherham.gov.uk/downloads/file/527/strategic-housing-land-availability-assessment-31-march-2017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911C7"/>
    <w:multiLevelType w:val="hybridMultilevel"/>
    <w:tmpl w:val="5D6A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347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95"/>
    <w:rsid w:val="00017F2C"/>
    <w:rsid w:val="00021F74"/>
    <w:rsid w:val="0003330A"/>
    <w:rsid w:val="00083A1C"/>
    <w:rsid w:val="000C73C4"/>
    <w:rsid w:val="000D51E9"/>
    <w:rsid w:val="00147CDB"/>
    <w:rsid w:val="00160DFC"/>
    <w:rsid w:val="00181CCF"/>
    <w:rsid w:val="001B1281"/>
    <w:rsid w:val="001F4847"/>
    <w:rsid w:val="0026126F"/>
    <w:rsid w:val="002744E5"/>
    <w:rsid w:val="00282FAB"/>
    <w:rsid w:val="0029306B"/>
    <w:rsid w:val="002C5F91"/>
    <w:rsid w:val="002C7036"/>
    <w:rsid w:val="002E6C4A"/>
    <w:rsid w:val="00304CEC"/>
    <w:rsid w:val="00322FCE"/>
    <w:rsid w:val="003879A9"/>
    <w:rsid w:val="003E3BB5"/>
    <w:rsid w:val="004020BA"/>
    <w:rsid w:val="00446F08"/>
    <w:rsid w:val="00465E82"/>
    <w:rsid w:val="00477C95"/>
    <w:rsid w:val="004854D1"/>
    <w:rsid w:val="004A03A7"/>
    <w:rsid w:val="004A5542"/>
    <w:rsid w:val="004E54AF"/>
    <w:rsid w:val="004E57F5"/>
    <w:rsid w:val="00522817"/>
    <w:rsid w:val="00524711"/>
    <w:rsid w:val="00525313"/>
    <w:rsid w:val="00533B58"/>
    <w:rsid w:val="00554DF8"/>
    <w:rsid w:val="005740B9"/>
    <w:rsid w:val="00574C59"/>
    <w:rsid w:val="005874E4"/>
    <w:rsid w:val="0061382C"/>
    <w:rsid w:val="00620914"/>
    <w:rsid w:val="00692FFD"/>
    <w:rsid w:val="006930DB"/>
    <w:rsid w:val="006A5944"/>
    <w:rsid w:val="006B4D3D"/>
    <w:rsid w:val="006D080C"/>
    <w:rsid w:val="006F320F"/>
    <w:rsid w:val="007147B3"/>
    <w:rsid w:val="00745264"/>
    <w:rsid w:val="0074686E"/>
    <w:rsid w:val="0078205D"/>
    <w:rsid w:val="007A2EDE"/>
    <w:rsid w:val="007E0E6E"/>
    <w:rsid w:val="008054F0"/>
    <w:rsid w:val="00841464"/>
    <w:rsid w:val="00844824"/>
    <w:rsid w:val="008A01AE"/>
    <w:rsid w:val="008F05B0"/>
    <w:rsid w:val="0091192E"/>
    <w:rsid w:val="009424AD"/>
    <w:rsid w:val="00942519"/>
    <w:rsid w:val="009761E9"/>
    <w:rsid w:val="0097729B"/>
    <w:rsid w:val="00983EA8"/>
    <w:rsid w:val="0098673C"/>
    <w:rsid w:val="009B594E"/>
    <w:rsid w:val="009C1D66"/>
    <w:rsid w:val="009D66D0"/>
    <w:rsid w:val="009E062B"/>
    <w:rsid w:val="00A16588"/>
    <w:rsid w:val="00A371FA"/>
    <w:rsid w:val="00A400C5"/>
    <w:rsid w:val="00A43BC4"/>
    <w:rsid w:val="00A56139"/>
    <w:rsid w:val="00AA4671"/>
    <w:rsid w:val="00AC771A"/>
    <w:rsid w:val="00AD0F8B"/>
    <w:rsid w:val="00AE6550"/>
    <w:rsid w:val="00AF2573"/>
    <w:rsid w:val="00B00D22"/>
    <w:rsid w:val="00B13E9F"/>
    <w:rsid w:val="00B20CA7"/>
    <w:rsid w:val="00B274CE"/>
    <w:rsid w:val="00B327A6"/>
    <w:rsid w:val="00B36942"/>
    <w:rsid w:val="00BF2BF4"/>
    <w:rsid w:val="00C0033A"/>
    <w:rsid w:val="00C12300"/>
    <w:rsid w:val="00C31826"/>
    <w:rsid w:val="00C823E0"/>
    <w:rsid w:val="00CA42DB"/>
    <w:rsid w:val="00CC56DA"/>
    <w:rsid w:val="00CF5E27"/>
    <w:rsid w:val="00D90418"/>
    <w:rsid w:val="00D946A9"/>
    <w:rsid w:val="00DB4EB5"/>
    <w:rsid w:val="00DC128D"/>
    <w:rsid w:val="00DF0D1E"/>
    <w:rsid w:val="00E15B37"/>
    <w:rsid w:val="00E31DAE"/>
    <w:rsid w:val="00E56738"/>
    <w:rsid w:val="00EA260E"/>
    <w:rsid w:val="00EB72E5"/>
    <w:rsid w:val="00ED107C"/>
    <w:rsid w:val="00EF324D"/>
    <w:rsid w:val="00EF78C8"/>
    <w:rsid w:val="00F07AFD"/>
    <w:rsid w:val="00F10E12"/>
    <w:rsid w:val="00F15467"/>
    <w:rsid w:val="00F3133A"/>
    <w:rsid w:val="00F35D60"/>
    <w:rsid w:val="00F9088A"/>
    <w:rsid w:val="00F95F57"/>
    <w:rsid w:val="00FD6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83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8D"/>
  </w:style>
  <w:style w:type="paragraph" w:styleId="Heading1">
    <w:name w:val="heading 1"/>
    <w:basedOn w:val="Normal"/>
    <w:next w:val="Normal"/>
    <w:link w:val="Heading1Char"/>
    <w:uiPriority w:val="9"/>
    <w:qFormat/>
    <w:rsid w:val="0097729B"/>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semiHidden/>
    <w:unhideWhenUsed/>
    <w:qFormat/>
    <w:rsid w:val="0097729B"/>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97729B"/>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97729B"/>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97729B"/>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97729B"/>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97729B"/>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97729B"/>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97729B"/>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B"/>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semiHidden/>
    <w:rsid w:val="0097729B"/>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97729B"/>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97729B"/>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97729B"/>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97729B"/>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97729B"/>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97729B"/>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97729B"/>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9772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7729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7729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7729B"/>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97729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7729B"/>
    <w:rPr>
      <w:i/>
      <w:iCs/>
      <w:color w:val="262626" w:themeColor="text1" w:themeTint="D9"/>
    </w:rPr>
  </w:style>
  <w:style w:type="paragraph" w:styleId="ListParagraph">
    <w:name w:val="List Paragraph"/>
    <w:basedOn w:val="Normal"/>
    <w:uiPriority w:val="34"/>
    <w:qFormat/>
    <w:rsid w:val="00477C95"/>
    <w:pPr>
      <w:ind w:left="720"/>
      <w:contextualSpacing/>
    </w:pPr>
  </w:style>
  <w:style w:type="character" w:styleId="IntenseEmphasis">
    <w:name w:val="Intense Emphasis"/>
    <w:basedOn w:val="DefaultParagraphFont"/>
    <w:uiPriority w:val="21"/>
    <w:qFormat/>
    <w:rsid w:val="0097729B"/>
    <w:rPr>
      <w:b/>
      <w:bCs/>
      <w:i/>
      <w:iCs/>
    </w:rPr>
  </w:style>
  <w:style w:type="paragraph" w:styleId="IntenseQuote">
    <w:name w:val="Intense Quote"/>
    <w:basedOn w:val="Normal"/>
    <w:next w:val="Normal"/>
    <w:link w:val="IntenseQuoteChar"/>
    <w:uiPriority w:val="30"/>
    <w:qFormat/>
    <w:rsid w:val="0097729B"/>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97729B"/>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97729B"/>
    <w:rPr>
      <w:b/>
      <w:bCs/>
      <w:smallCaps/>
      <w:color w:val="4EA72E" w:themeColor="accent6"/>
    </w:rPr>
  </w:style>
  <w:style w:type="paragraph" w:styleId="Caption">
    <w:name w:val="caption"/>
    <w:basedOn w:val="Normal"/>
    <w:next w:val="Normal"/>
    <w:uiPriority w:val="35"/>
    <w:semiHidden/>
    <w:unhideWhenUsed/>
    <w:qFormat/>
    <w:rsid w:val="0097729B"/>
    <w:pPr>
      <w:spacing w:line="240" w:lineRule="auto"/>
    </w:pPr>
    <w:rPr>
      <w:b/>
      <w:bCs/>
      <w:smallCaps/>
      <w:color w:val="595959" w:themeColor="text1" w:themeTint="A6"/>
    </w:rPr>
  </w:style>
  <w:style w:type="character" w:styleId="Strong">
    <w:name w:val="Strong"/>
    <w:basedOn w:val="DefaultParagraphFont"/>
    <w:uiPriority w:val="22"/>
    <w:qFormat/>
    <w:rsid w:val="0097729B"/>
    <w:rPr>
      <w:b/>
      <w:bCs/>
    </w:rPr>
  </w:style>
  <w:style w:type="character" w:styleId="Emphasis">
    <w:name w:val="Emphasis"/>
    <w:basedOn w:val="DefaultParagraphFont"/>
    <w:uiPriority w:val="20"/>
    <w:qFormat/>
    <w:rsid w:val="0097729B"/>
    <w:rPr>
      <w:i/>
      <w:iCs/>
      <w:color w:val="4EA72E" w:themeColor="accent6"/>
    </w:rPr>
  </w:style>
  <w:style w:type="paragraph" w:styleId="NoSpacing">
    <w:name w:val="No Spacing"/>
    <w:link w:val="NoSpacingChar"/>
    <w:uiPriority w:val="1"/>
    <w:qFormat/>
    <w:rsid w:val="0097729B"/>
    <w:pPr>
      <w:spacing w:after="0" w:line="240" w:lineRule="auto"/>
    </w:pPr>
  </w:style>
  <w:style w:type="character" w:styleId="SubtleEmphasis">
    <w:name w:val="Subtle Emphasis"/>
    <w:basedOn w:val="DefaultParagraphFont"/>
    <w:uiPriority w:val="19"/>
    <w:qFormat/>
    <w:rsid w:val="0097729B"/>
    <w:rPr>
      <w:i/>
      <w:iCs/>
    </w:rPr>
  </w:style>
  <w:style w:type="character" w:styleId="SubtleReference">
    <w:name w:val="Subtle Reference"/>
    <w:basedOn w:val="DefaultParagraphFont"/>
    <w:uiPriority w:val="31"/>
    <w:qFormat/>
    <w:rsid w:val="0097729B"/>
    <w:rPr>
      <w:smallCaps/>
      <w:color w:val="595959" w:themeColor="text1" w:themeTint="A6"/>
    </w:rPr>
  </w:style>
  <w:style w:type="character" w:styleId="BookTitle">
    <w:name w:val="Book Title"/>
    <w:basedOn w:val="DefaultParagraphFont"/>
    <w:uiPriority w:val="33"/>
    <w:qFormat/>
    <w:rsid w:val="0097729B"/>
    <w:rPr>
      <w:b/>
      <w:bCs/>
      <w:caps w:val="0"/>
      <w:smallCaps/>
      <w:spacing w:val="7"/>
      <w:sz w:val="21"/>
      <w:szCs w:val="21"/>
    </w:rPr>
  </w:style>
  <w:style w:type="paragraph" w:styleId="TOCHeading">
    <w:name w:val="TOC Heading"/>
    <w:basedOn w:val="Heading1"/>
    <w:next w:val="Normal"/>
    <w:uiPriority w:val="39"/>
    <w:semiHidden/>
    <w:unhideWhenUsed/>
    <w:qFormat/>
    <w:rsid w:val="0097729B"/>
    <w:pPr>
      <w:outlineLvl w:val="9"/>
    </w:pPr>
  </w:style>
  <w:style w:type="paragraph" w:styleId="FootnoteText">
    <w:name w:val="footnote text"/>
    <w:basedOn w:val="Normal"/>
    <w:link w:val="FootnoteTextChar"/>
    <w:uiPriority w:val="99"/>
    <w:semiHidden/>
    <w:unhideWhenUsed/>
    <w:rsid w:val="00477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C95"/>
    <w:rPr>
      <w:sz w:val="20"/>
      <w:szCs w:val="20"/>
    </w:rPr>
  </w:style>
  <w:style w:type="character" w:styleId="FootnoteReference">
    <w:name w:val="footnote reference"/>
    <w:basedOn w:val="DefaultParagraphFont"/>
    <w:uiPriority w:val="99"/>
    <w:semiHidden/>
    <w:unhideWhenUsed/>
    <w:rsid w:val="00477C95"/>
    <w:rPr>
      <w:vertAlign w:val="superscript"/>
    </w:rPr>
  </w:style>
  <w:style w:type="character" w:styleId="Hyperlink">
    <w:name w:val="Hyperlink"/>
    <w:basedOn w:val="DefaultParagraphFont"/>
    <w:uiPriority w:val="99"/>
    <w:unhideWhenUsed/>
    <w:rsid w:val="00477C95"/>
    <w:rPr>
      <w:color w:val="467886" w:themeColor="hyperlink"/>
      <w:u w:val="single"/>
    </w:rPr>
  </w:style>
  <w:style w:type="character" w:styleId="UnresolvedMention">
    <w:name w:val="Unresolved Mention"/>
    <w:basedOn w:val="DefaultParagraphFont"/>
    <w:uiPriority w:val="99"/>
    <w:semiHidden/>
    <w:unhideWhenUsed/>
    <w:rsid w:val="00477C95"/>
    <w:rPr>
      <w:color w:val="605E5C"/>
      <w:shd w:val="clear" w:color="auto" w:fill="E1DFDD"/>
    </w:rPr>
  </w:style>
  <w:style w:type="character" w:styleId="FollowedHyperlink">
    <w:name w:val="FollowedHyperlink"/>
    <w:basedOn w:val="DefaultParagraphFont"/>
    <w:uiPriority w:val="99"/>
    <w:semiHidden/>
    <w:unhideWhenUsed/>
    <w:rsid w:val="0097729B"/>
    <w:rPr>
      <w:color w:val="96607D" w:themeColor="followedHyperlink"/>
      <w:u w:val="single"/>
    </w:rPr>
  </w:style>
  <w:style w:type="table" w:styleId="TableGrid">
    <w:name w:val="Table Grid"/>
    <w:basedOn w:val="TableNormal"/>
    <w:uiPriority w:val="39"/>
    <w:rsid w:val="00C1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1464"/>
    <w:rPr>
      <w:sz w:val="16"/>
      <w:szCs w:val="16"/>
    </w:rPr>
  </w:style>
  <w:style w:type="paragraph" w:styleId="CommentText">
    <w:name w:val="annotation text"/>
    <w:basedOn w:val="Normal"/>
    <w:link w:val="CommentTextChar"/>
    <w:uiPriority w:val="99"/>
    <w:unhideWhenUsed/>
    <w:rsid w:val="00841464"/>
    <w:pPr>
      <w:spacing w:line="240" w:lineRule="auto"/>
    </w:pPr>
    <w:rPr>
      <w:sz w:val="20"/>
      <w:szCs w:val="20"/>
    </w:rPr>
  </w:style>
  <w:style w:type="character" w:customStyle="1" w:styleId="CommentTextChar">
    <w:name w:val="Comment Text Char"/>
    <w:basedOn w:val="DefaultParagraphFont"/>
    <w:link w:val="CommentText"/>
    <w:uiPriority w:val="99"/>
    <w:rsid w:val="00841464"/>
    <w:rPr>
      <w:sz w:val="20"/>
      <w:szCs w:val="20"/>
    </w:rPr>
  </w:style>
  <w:style w:type="paragraph" w:styleId="CommentSubject">
    <w:name w:val="annotation subject"/>
    <w:basedOn w:val="CommentText"/>
    <w:next w:val="CommentText"/>
    <w:link w:val="CommentSubjectChar"/>
    <w:uiPriority w:val="99"/>
    <w:semiHidden/>
    <w:unhideWhenUsed/>
    <w:rsid w:val="00841464"/>
    <w:rPr>
      <w:b/>
      <w:bCs/>
    </w:rPr>
  </w:style>
  <w:style w:type="character" w:customStyle="1" w:styleId="CommentSubjectChar">
    <w:name w:val="Comment Subject Char"/>
    <w:basedOn w:val="CommentTextChar"/>
    <w:link w:val="CommentSubject"/>
    <w:uiPriority w:val="99"/>
    <w:semiHidden/>
    <w:rsid w:val="00841464"/>
    <w:rPr>
      <w:b/>
      <w:bCs/>
      <w:sz w:val="20"/>
      <w:szCs w:val="20"/>
    </w:rPr>
  </w:style>
  <w:style w:type="paragraph" w:styleId="Revision">
    <w:name w:val="Revision"/>
    <w:hidden/>
    <w:uiPriority w:val="99"/>
    <w:semiHidden/>
    <w:rsid w:val="0061382C"/>
    <w:pPr>
      <w:spacing w:after="0" w:line="240" w:lineRule="auto"/>
    </w:pPr>
  </w:style>
  <w:style w:type="paragraph" w:styleId="Header">
    <w:name w:val="header"/>
    <w:basedOn w:val="Normal"/>
    <w:link w:val="HeaderChar"/>
    <w:uiPriority w:val="99"/>
    <w:unhideWhenUsed/>
    <w:rsid w:val="00181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CCF"/>
  </w:style>
  <w:style w:type="paragraph" w:styleId="Footer">
    <w:name w:val="footer"/>
    <w:basedOn w:val="Normal"/>
    <w:link w:val="FooterChar"/>
    <w:uiPriority w:val="99"/>
    <w:unhideWhenUsed/>
    <w:rsid w:val="00181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CCF"/>
  </w:style>
  <w:style w:type="character" w:customStyle="1" w:styleId="NoSpacingChar">
    <w:name w:val="No Spacing Char"/>
    <w:basedOn w:val="DefaultParagraphFont"/>
    <w:link w:val="NoSpacing"/>
    <w:uiPriority w:val="1"/>
    <w:rsid w:val="002C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58407">
      <w:bodyDiv w:val="1"/>
      <w:marLeft w:val="0"/>
      <w:marRight w:val="0"/>
      <w:marTop w:val="0"/>
      <w:marBottom w:val="0"/>
      <w:divBdr>
        <w:top w:val="none" w:sz="0" w:space="0" w:color="auto"/>
        <w:left w:val="none" w:sz="0" w:space="0" w:color="auto"/>
        <w:bottom w:val="none" w:sz="0" w:space="0" w:color="auto"/>
        <w:right w:val="none" w:sz="0" w:space="0" w:color="auto"/>
      </w:divBdr>
    </w:div>
    <w:div w:id="1740858207">
      <w:bodyDiv w:val="1"/>
      <w:marLeft w:val="0"/>
      <w:marRight w:val="0"/>
      <w:marTop w:val="0"/>
      <w:marBottom w:val="0"/>
      <w:divBdr>
        <w:top w:val="none" w:sz="0" w:space="0" w:color="auto"/>
        <w:left w:val="none" w:sz="0" w:space="0" w:color="auto"/>
        <w:bottom w:val="none" w:sz="0" w:space="0" w:color="auto"/>
        <w:right w:val="none" w:sz="0" w:space="0" w:color="auto"/>
      </w:divBdr>
    </w:div>
    <w:div w:id="196260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8" Type="http://schemas.openxmlformats.org/officeDocument/2006/relationships/hyperlink" Target="https://www.gov.uk/guidance/housing-supply-and-delivery" TargetMode="External"/><Relationship Id="rId3" Type="http://schemas.openxmlformats.org/officeDocument/2006/relationships/hyperlink" Target="https://www.gov.uk/guidance/housing-and-economic-development-needs-assessments" TargetMode="External"/><Relationship Id="rId7" Type="http://schemas.openxmlformats.org/officeDocument/2006/relationships/hyperlink" Target="https://www.gov.uk/government/publications/national-planning-policy-framework--2" TargetMode="External"/><Relationship Id="rId2" Type="http://schemas.openxmlformats.org/officeDocument/2006/relationships/hyperlink" Target="https://www.gov.uk/government/publications/national-planning-policy-framework--2" TargetMode="External"/><Relationship Id="rId1" Type="http://schemas.openxmlformats.org/officeDocument/2006/relationships/hyperlink" Target="https://www.gov.uk/guidance/housing-and-economic-development-needs-assessments" TargetMode="External"/><Relationship Id="rId6" Type="http://schemas.openxmlformats.org/officeDocument/2006/relationships/hyperlink" Target="https://www.gov.uk/government/publications/housing-delivery-test-2023-measurement" TargetMode="External"/><Relationship Id="rId5" Type="http://schemas.openxmlformats.org/officeDocument/2006/relationships/hyperlink" Target="https://www.gov.uk/government/publications/housing-delivery-test-measurement-rule-book" TargetMode="External"/><Relationship Id="rId4" Type="http://schemas.openxmlformats.org/officeDocument/2006/relationships/hyperlink" Target="https://www.ons.gov.uk/peoplepopulationandcommunity/housing/bulletins/housingaffordabilityinenglandandwales/2024" TargetMode="External"/><Relationship Id="rId9" Type="http://schemas.openxmlformats.org/officeDocument/2006/relationships/hyperlink" Target="https://www.rotherham.gov.uk/downloads/file/527/strategic-housing-land-availability-assessment-31-march-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A2047-952C-46C1-8FE8-6688092B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2657</Words>
  <Characters>15147</Characters>
  <Application>Microsoft Office Word</Application>
  <DocSecurity>0</DocSecurity>
  <Lines>126</Lines>
  <Paragraphs>35</Paragraphs>
  <ScaleCrop>false</ScaleCrop>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2025-10-06T10:32:00Z</dcterms:created>
  <dcterms:modified xsi:type="dcterms:W3CDTF">2025-10-06T10:32:00Z</dcterms:modified>
</cp:coreProperties>
</file>